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BD959D8">
      <w:pPr>
        <w:keepNext w:val="0"/>
        <w:keepLines w:val="0"/>
        <w:pageBreakBefore w:val="0"/>
        <w:widowControl w:val="0"/>
        <w:kinsoku/>
        <w:wordWrap/>
        <w:overflowPunct/>
        <w:topLinePunct w:val="0"/>
        <w:autoSpaceDE/>
        <w:autoSpaceDN/>
        <w:bidi w:val="0"/>
        <w:adjustRightInd w:val="0"/>
        <w:snapToGrid w:val="0"/>
        <w:spacing w:line="520" w:lineRule="exact"/>
        <w:textAlignment w:val="auto"/>
        <w:rPr>
          <w:rFonts w:hint="default" w:ascii="Times New Roman" w:hAnsi="Times New Roman" w:eastAsia="仿宋_GB2312" w:cs="Times New Roman"/>
          <w:sz w:val="32"/>
          <w:szCs w:val="32"/>
          <w:highlight w:val="none"/>
          <w:lang w:val="en-US" w:eastAsia="zh-CN"/>
        </w:rPr>
      </w:pPr>
      <w:bookmarkStart w:id="1" w:name="_GoBack"/>
      <w:bookmarkEnd w:id="1"/>
      <w:r>
        <w:rPr>
          <w:rFonts w:hint="default" w:ascii="Times New Roman" w:hAnsi="Times New Roman" w:eastAsia="仿宋_GB2312" w:cs="Times New Roman"/>
          <w:sz w:val="32"/>
          <w:szCs w:val="32"/>
          <w:highlight w:val="none"/>
          <w:lang w:val="en-US" w:eastAsia="zh-CN"/>
        </w:rPr>
        <w:t>附件1</w:t>
      </w:r>
    </w:p>
    <w:p w14:paraId="4BEDC0C1">
      <w:pPr>
        <w:shd w:val="clear" w:color="auto" w:fill="auto"/>
        <w:spacing w:line="560" w:lineRule="exact"/>
        <w:jc w:val="center"/>
        <w:rPr>
          <w:rFonts w:hint="default" w:ascii="Times New Roman" w:hAnsi="Times New Roman" w:eastAsia="方正小标宋简体" w:cs="Times New Roman"/>
          <w:b w:val="0"/>
          <w:bCs/>
          <w:sz w:val="44"/>
          <w:szCs w:val="44"/>
        </w:rPr>
      </w:pPr>
      <w:r>
        <w:rPr>
          <w:rFonts w:hint="default" w:ascii="Times New Roman" w:hAnsi="Times New Roman" w:eastAsia="方正小标宋简体" w:cs="Times New Roman"/>
          <w:b w:val="0"/>
          <w:bCs/>
          <w:sz w:val="44"/>
          <w:szCs w:val="44"/>
        </w:rPr>
        <w:t>报价单</w:t>
      </w:r>
    </w:p>
    <w:p w14:paraId="45E0A01A">
      <w:pPr>
        <w:shd w:val="clear" w:color="auto" w:fill="auto"/>
        <w:spacing w:line="560" w:lineRule="exact"/>
        <w:jc w:val="center"/>
        <w:rPr>
          <w:rFonts w:hint="default" w:ascii="Times New Roman" w:hAnsi="Times New Roman" w:eastAsia="仿宋_GB2312" w:cs="Times New Roman"/>
          <w:b/>
          <w:sz w:val="32"/>
          <w:szCs w:val="32"/>
        </w:rPr>
      </w:pPr>
    </w:p>
    <w:tbl>
      <w:tblPr>
        <w:tblStyle w:val="15"/>
        <w:tblW w:w="8683" w:type="dxa"/>
        <w:tblInd w:w="0" w:type="dxa"/>
        <w:tblLayout w:type="fixed"/>
        <w:tblCellMar>
          <w:top w:w="15" w:type="dxa"/>
          <w:left w:w="15" w:type="dxa"/>
          <w:bottom w:w="15" w:type="dxa"/>
          <w:right w:w="15" w:type="dxa"/>
        </w:tblCellMar>
      </w:tblPr>
      <w:tblGrid>
        <w:gridCol w:w="3200"/>
        <w:gridCol w:w="5483"/>
      </w:tblGrid>
      <w:tr w14:paraId="2BA357DC">
        <w:tblPrEx>
          <w:tblCellMar>
            <w:top w:w="15" w:type="dxa"/>
            <w:left w:w="15" w:type="dxa"/>
            <w:bottom w:w="15" w:type="dxa"/>
            <w:right w:w="15" w:type="dxa"/>
          </w:tblCellMar>
        </w:tblPrEx>
        <w:trPr>
          <w:trHeight w:val="2411" w:hRule="exact"/>
        </w:trPr>
        <w:tc>
          <w:tcPr>
            <w:tcW w:w="3200" w:type="dxa"/>
            <w:tcBorders>
              <w:top w:val="single" w:color="000000" w:sz="4" w:space="0"/>
              <w:left w:val="single" w:color="000000" w:sz="4" w:space="0"/>
              <w:bottom w:val="single" w:color="000000" w:sz="4" w:space="0"/>
              <w:right w:val="single" w:color="000000" w:sz="4" w:space="0"/>
            </w:tcBorders>
            <w:vAlign w:val="center"/>
          </w:tcPr>
          <w:p w14:paraId="77991714">
            <w:pPr>
              <w:widowControl/>
              <w:shd w:val="clear" w:color="auto" w:fill="auto"/>
              <w:spacing w:line="560" w:lineRule="exact"/>
              <w:jc w:val="center"/>
              <w:textAlignment w:val="center"/>
              <w:rPr>
                <w:rFonts w:hint="default" w:ascii="Times New Roman" w:hAnsi="Times New Roman" w:eastAsia="仿宋_GB2312" w:cs="Times New Roman"/>
                <w:b/>
                <w:color w:val="000000"/>
                <w:sz w:val="32"/>
                <w:szCs w:val="32"/>
              </w:rPr>
            </w:pPr>
            <w:r>
              <w:rPr>
                <w:rFonts w:hint="default" w:ascii="Times New Roman" w:hAnsi="Times New Roman" w:eastAsia="仿宋_GB2312" w:cs="Times New Roman"/>
                <w:b/>
                <w:color w:val="000000"/>
                <w:kern w:val="0"/>
                <w:sz w:val="32"/>
                <w:szCs w:val="32"/>
                <w:lang w:bidi="ar"/>
              </w:rPr>
              <w:t>项目名称</w:t>
            </w:r>
          </w:p>
        </w:tc>
        <w:tc>
          <w:tcPr>
            <w:tcW w:w="5483" w:type="dxa"/>
            <w:tcBorders>
              <w:top w:val="single" w:color="000000" w:sz="4" w:space="0"/>
              <w:left w:val="single" w:color="000000" w:sz="4" w:space="0"/>
              <w:bottom w:val="single" w:color="000000" w:sz="4" w:space="0"/>
              <w:right w:val="single" w:color="000000" w:sz="4" w:space="0"/>
            </w:tcBorders>
            <w:vAlign w:val="center"/>
          </w:tcPr>
          <w:p w14:paraId="51D0A99C">
            <w:pPr>
              <w:keepNext w:val="0"/>
              <w:keepLines w:val="0"/>
              <w:pageBreakBefore w:val="0"/>
              <w:widowControl w:val="0"/>
              <w:kinsoku/>
              <w:wordWrap/>
              <w:overflowPunct/>
              <w:topLinePunct w:val="0"/>
              <w:autoSpaceDE/>
              <w:autoSpaceDN/>
              <w:bidi w:val="0"/>
              <w:adjustRightInd/>
              <w:snapToGrid/>
              <w:spacing w:line="580" w:lineRule="exact"/>
              <w:ind w:left="320" w:hanging="320" w:hangingChars="100"/>
              <w:jc w:val="center"/>
              <w:textAlignment w:val="auto"/>
              <w:rPr>
                <w:rFonts w:hint="default" w:ascii="Times New Roman" w:hAnsi="Times New Roman" w:eastAsia="仿宋_GB2312" w:cs="Times New Roman"/>
                <w:b/>
                <w:color w:val="000000"/>
                <w:sz w:val="24"/>
                <w:szCs w:val="24"/>
                <w:lang w:val="en-US" w:eastAsia="zh-CN"/>
              </w:rPr>
            </w:pPr>
            <w:r>
              <w:rPr>
                <w:rFonts w:hint="eastAsia" w:ascii="仿宋_GB2312" w:hAnsi="仿宋_GB2312" w:eastAsia="仿宋_GB2312" w:cs="仿宋_GB2312"/>
                <w:sz w:val="32"/>
                <w:szCs w:val="32"/>
                <w:lang w:val="en-US" w:eastAsia="zh-CN"/>
              </w:rPr>
              <w:t>许昌市胖东来天使城生活服务圈公共停车及配套设施提升工程</w:t>
            </w:r>
            <w:r>
              <w:rPr>
                <w:rFonts w:hint="eastAsia" w:ascii="仿宋_GB2312" w:hAnsi="仿宋_GB2312" w:eastAsia="仿宋_GB2312" w:cs="仿宋_GB2312"/>
                <w:sz w:val="32"/>
                <w:szCs w:val="32"/>
                <w:u w:val="none"/>
                <w:lang w:val="en-US" w:eastAsia="zh-CN"/>
              </w:rPr>
              <w:t>勘察测量</w:t>
            </w:r>
          </w:p>
        </w:tc>
      </w:tr>
      <w:tr w14:paraId="108DCD3C">
        <w:tblPrEx>
          <w:tblCellMar>
            <w:top w:w="15" w:type="dxa"/>
            <w:left w:w="15" w:type="dxa"/>
            <w:bottom w:w="15" w:type="dxa"/>
            <w:right w:w="15" w:type="dxa"/>
          </w:tblCellMar>
        </w:tblPrEx>
        <w:trPr>
          <w:trHeight w:val="1260" w:hRule="exact"/>
        </w:trPr>
        <w:tc>
          <w:tcPr>
            <w:tcW w:w="3200" w:type="dxa"/>
            <w:tcBorders>
              <w:top w:val="single" w:color="000000" w:sz="4" w:space="0"/>
              <w:left w:val="single" w:color="000000" w:sz="4" w:space="0"/>
              <w:right w:val="single" w:color="000000" w:sz="4" w:space="0"/>
            </w:tcBorders>
            <w:vAlign w:val="center"/>
          </w:tcPr>
          <w:p w14:paraId="038567A8">
            <w:pPr>
              <w:widowControl/>
              <w:shd w:val="clear" w:color="auto" w:fill="auto"/>
              <w:spacing w:line="560" w:lineRule="exact"/>
              <w:jc w:val="center"/>
              <w:textAlignment w:val="center"/>
              <w:rPr>
                <w:rFonts w:hint="default" w:ascii="Times New Roman" w:hAnsi="Times New Roman" w:eastAsia="仿宋_GB2312" w:cs="Times New Roman"/>
                <w:b/>
                <w:color w:val="000000"/>
                <w:sz w:val="32"/>
                <w:szCs w:val="32"/>
              </w:rPr>
            </w:pPr>
            <w:r>
              <w:rPr>
                <w:rFonts w:hint="default" w:ascii="Times New Roman" w:hAnsi="Times New Roman" w:eastAsia="仿宋_GB2312" w:cs="Times New Roman"/>
                <w:b/>
                <w:color w:val="000000"/>
                <w:kern w:val="0"/>
                <w:sz w:val="32"/>
                <w:szCs w:val="32"/>
                <w:lang w:bidi="ar"/>
              </w:rPr>
              <w:t>申请人</w:t>
            </w:r>
          </w:p>
        </w:tc>
        <w:tc>
          <w:tcPr>
            <w:tcW w:w="5483" w:type="dxa"/>
            <w:tcBorders>
              <w:top w:val="single" w:color="000000" w:sz="4" w:space="0"/>
              <w:left w:val="single" w:color="000000" w:sz="4" w:space="0"/>
              <w:bottom w:val="single" w:color="000000" w:sz="4" w:space="0"/>
              <w:right w:val="single" w:color="000000" w:sz="4" w:space="0"/>
            </w:tcBorders>
            <w:vAlign w:val="center"/>
          </w:tcPr>
          <w:p w14:paraId="4EA5D0B8">
            <w:pPr>
              <w:widowControl/>
              <w:shd w:val="clear" w:color="auto" w:fill="auto"/>
              <w:spacing w:line="560" w:lineRule="exact"/>
              <w:jc w:val="center"/>
              <w:textAlignment w:val="center"/>
              <w:rPr>
                <w:rFonts w:hint="default" w:ascii="Times New Roman" w:hAnsi="Times New Roman" w:eastAsia="仿宋_GB2312" w:cs="Times New Roman"/>
                <w:b/>
                <w:color w:val="000000"/>
                <w:sz w:val="32"/>
                <w:szCs w:val="32"/>
              </w:rPr>
            </w:pPr>
            <w:r>
              <w:rPr>
                <w:rFonts w:hint="eastAsia" w:ascii="仿宋_GB2312" w:hAnsi="宋体" w:eastAsia="仿宋_GB2312" w:cs="仿宋_GB2312"/>
                <w:b w:val="0"/>
                <w:bCs/>
                <w:color w:val="000000"/>
                <w:sz w:val="32"/>
                <w:szCs w:val="32"/>
                <w:lang w:val="en-US" w:eastAsia="zh-CN"/>
              </w:rPr>
              <w:t>公司名称***</w:t>
            </w:r>
          </w:p>
        </w:tc>
      </w:tr>
      <w:tr w14:paraId="13721904">
        <w:tblPrEx>
          <w:tblCellMar>
            <w:top w:w="15" w:type="dxa"/>
            <w:left w:w="15" w:type="dxa"/>
            <w:bottom w:w="15" w:type="dxa"/>
            <w:right w:w="15" w:type="dxa"/>
          </w:tblCellMar>
        </w:tblPrEx>
        <w:trPr>
          <w:trHeight w:val="1474" w:hRule="exact"/>
        </w:trPr>
        <w:tc>
          <w:tcPr>
            <w:tcW w:w="3200" w:type="dxa"/>
            <w:tcBorders>
              <w:top w:val="single" w:color="000000" w:sz="4" w:space="0"/>
              <w:left w:val="single" w:color="000000" w:sz="4" w:space="0"/>
              <w:bottom w:val="single" w:color="000000" w:sz="4" w:space="0"/>
              <w:right w:val="single" w:color="000000" w:sz="4" w:space="0"/>
            </w:tcBorders>
            <w:vAlign w:val="center"/>
          </w:tcPr>
          <w:p w14:paraId="0FE1E988">
            <w:pPr>
              <w:widowControl/>
              <w:shd w:val="clear" w:color="auto" w:fill="auto"/>
              <w:spacing w:line="560" w:lineRule="exact"/>
              <w:jc w:val="center"/>
              <w:textAlignment w:val="center"/>
              <w:rPr>
                <w:rFonts w:hint="default" w:ascii="Times New Roman" w:hAnsi="Times New Roman" w:eastAsia="仿宋_GB2312" w:cs="Times New Roman"/>
                <w:b/>
                <w:color w:val="000000"/>
                <w:kern w:val="0"/>
                <w:sz w:val="32"/>
                <w:szCs w:val="32"/>
                <w:lang w:bidi="ar"/>
              </w:rPr>
            </w:pPr>
            <w:r>
              <w:rPr>
                <w:rFonts w:hint="default" w:ascii="Times New Roman" w:hAnsi="Times New Roman" w:eastAsia="仿宋_GB2312" w:cs="Times New Roman"/>
                <w:b/>
                <w:color w:val="000000"/>
                <w:kern w:val="0"/>
                <w:sz w:val="32"/>
                <w:szCs w:val="32"/>
                <w:lang w:bidi="ar"/>
              </w:rPr>
              <w:t>申请人资质</w:t>
            </w:r>
          </w:p>
        </w:tc>
        <w:tc>
          <w:tcPr>
            <w:tcW w:w="5483" w:type="dxa"/>
            <w:tcBorders>
              <w:top w:val="single" w:color="000000" w:sz="4" w:space="0"/>
              <w:left w:val="single" w:color="000000" w:sz="4" w:space="0"/>
              <w:bottom w:val="single" w:color="000000" w:sz="4" w:space="0"/>
              <w:right w:val="single" w:color="000000" w:sz="4" w:space="0"/>
            </w:tcBorders>
            <w:vAlign w:val="center"/>
          </w:tcPr>
          <w:p w14:paraId="70A58CBD">
            <w:pPr>
              <w:widowControl/>
              <w:shd w:val="clear" w:color="auto" w:fill="auto"/>
              <w:spacing w:line="560" w:lineRule="exact"/>
              <w:jc w:val="center"/>
              <w:textAlignment w:val="center"/>
              <w:rPr>
                <w:rFonts w:hint="default" w:ascii="Times New Roman" w:hAnsi="Times New Roman" w:eastAsia="仿宋_GB2312" w:cs="Times New Roman"/>
                <w:b/>
                <w:color w:val="000000"/>
                <w:sz w:val="32"/>
                <w:szCs w:val="32"/>
              </w:rPr>
            </w:pPr>
          </w:p>
        </w:tc>
      </w:tr>
      <w:tr w14:paraId="0D2EDD31">
        <w:tblPrEx>
          <w:tblCellMar>
            <w:top w:w="15" w:type="dxa"/>
            <w:left w:w="15" w:type="dxa"/>
            <w:bottom w:w="15" w:type="dxa"/>
            <w:right w:w="15" w:type="dxa"/>
          </w:tblCellMar>
        </w:tblPrEx>
        <w:trPr>
          <w:trHeight w:val="1474" w:hRule="exact"/>
        </w:trPr>
        <w:tc>
          <w:tcPr>
            <w:tcW w:w="3200" w:type="dxa"/>
            <w:tcBorders>
              <w:top w:val="single" w:color="000000" w:sz="4" w:space="0"/>
              <w:left w:val="single" w:color="000000" w:sz="4" w:space="0"/>
              <w:bottom w:val="single" w:color="000000" w:sz="4" w:space="0"/>
              <w:right w:val="single" w:color="000000" w:sz="4" w:space="0"/>
            </w:tcBorders>
            <w:vAlign w:val="center"/>
          </w:tcPr>
          <w:p w14:paraId="3A2607CE">
            <w:pPr>
              <w:widowControl/>
              <w:shd w:val="clear" w:color="auto" w:fill="auto"/>
              <w:spacing w:line="560" w:lineRule="exact"/>
              <w:jc w:val="center"/>
              <w:textAlignment w:val="center"/>
              <w:rPr>
                <w:rFonts w:hint="default" w:ascii="Times New Roman" w:hAnsi="Times New Roman" w:eastAsia="仿宋_GB2312" w:cs="Times New Roman"/>
                <w:b/>
                <w:color w:val="000000"/>
                <w:kern w:val="0"/>
                <w:sz w:val="32"/>
                <w:szCs w:val="32"/>
                <w:lang w:bidi="ar"/>
              </w:rPr>
            </w:pPr>
            <w:r>
              <w:rPr>
                <w:rFonts w:hint="default" w:ascii="Times New Roman" w:hAnsi="Times New Roman" w:eastAsia="仿宋_GB2312" w:cs="Times New Roman"/>
                <w:b/>
                <w:color w:val="000000"/>
                <w:kern w:val="0"/>
                <w:sz w:val="32"/>
                <w:szCs w:val="32"/>
                <w:lang w:bidi="ar"/>
              </w:rPr>
              <w:t>项目负责人（职务）</w:t>
            </w:r>
          </w:p>
        </w:tc>
        <w:tc>
          <w:tcPr>
            <w:tcW w:w="5483" w:type="dxa"/>
            <w:tcBorders>
              <w:top w:val="single" w:color="000000" w:sz="4" w:space="0"/>
              <w:left w:val="single" w:color="000000" w:sz="4" w:space="0"/>
              <w:bottom w:val="single" w:color="000000" w:sz="4" w:space="0"/>
              <w:right w:val="single" w:color="000000" w:sz="4" w:space="0"/>
            </w:tcBorders>
            <w:vAlign w:val="center"/>
          </w:tcPr>
          <w:p w14:paraId="0A9C9A76">
            <w:pPr>
              <w:widowControl/>
              <w:shd w:val="clear" w:color="auto" w:fill="auto"/>
              <w:spacing w:line="560" w:lineRule="exact"/>
              <w:jc w:val="center"/>
              <w:textAlignment w:val="center"/>
              <w:rPr>
                <w:rFonts w:hint="default" w:ascii="Times New Roman" w:hAnsi="Times New Roman" w:eastAsia="仿宋_GB2312" w:cs="Times New Roman"/>
                <w:b/>
                <w:color w:val="000000"/>
                <w:sz w:val="32"/>
                <w:szCs w:val="32"/>
              </w:rPr>
            </w:pPr>
          </w:p>
        </w:tc>
      </w:tr>
      <w:tr w14:paraId="0A62A867">
        <w:tblPrEx>
          <w:tblCellMar>
            <w:top w:w="15" w:type="dxa"/>
            <w:left w:w="15" w:type="dxa"/>
            <w:bottom w:w="15" w:type="dxa"/>
            <w:right w:w="15" w:type="dxa"/>
          </w:tblCellMar>
        </w:tblPrEx>
        <w:trPr>
          <w:trHeight w:val="1474" w:hRule="exact"/>
        </w:trPr>
        <w:tc>
          <w:tcPr>
            <w:tcW w:w="3200" w:type="dxa"/>
            <w:tcBorders>
              <w:top w:val="single" w:color="000000" w:sz="4" w:space="0"/>
              <w:left w:val="single" w:color="000000" w:sz="4" w:space="0"/>
              <w:bottom w:val="single" w:color="000000" w:sz="4" w:space="0"/>
              <w:right w:val="single" w:color="000000" w:sz="4" w:space="0"/>
            </w:tcBorders>
            <w:vAlign w:val="center"/>
          </w:tcPr>
          <w:p w14:paraId="363931EC">
            <w:pPr>
              <w:widowControl/>
              <w:shd w:val="clear" w:color="auto" w:fill="auto"/>
              <w:spacing w:line="560" w:lineRule="exact"/>
              <w:jc w:val="center"/>
              <w:textAlignment w:val="center"/>
              <w:rPr>
                <w:rFonts w:hint="default" w:ascii="Times New Roman" w:hAnsi="Times New Roman" w:eastAsia="仿宋_GB2312" w:cs="Times New Roman"/>
                <w:b/>
                <w:color w:val="000000"/>
                <w:kern w:val="0"/>
                <w:sz w:val="32"/>
                <w:szCs w:val="32"/>
                <w:lang w:val="en-US" w:eastAsia="zh-CN" w:bidi="ar"/>
              </w:rPr>
            </w:pPr>
            <w:r>
              <w:rPr>
                <w:rFonts w:hint="default" w:ascii="Times New Roman" w:hAnsi="Times New Roman" w:eastAsia="仿宋_GB2312" w:cs="Times New Roman"/>
                <w:b/>
                <w:color w:val="000000"/>
                <w:kern w:val="0"/>
                <w:sz w:val="32"/>
                <w:szCs w:val="32"/>
                <w:lang w:val="en-US" w:eastAsia="zh-CN" w:bidi="ar"/>
              </w:rPr>
              <w:t>项目工作内容</w:t>
            </w:r>
          </w:p>
        </w:tc>
        <w:tc>
          <w:tcPr>
            <w:tcW w:w="5483" w:type="dxa"/>
            <w:tcBorders>
              <w:top w:val="single" w:color="000000" w:sz="4" w:space="0"/>
              <w:left w:val="single" w:color="000000" w:sz="4" w:space="0"/>
              <w:bottom w:val="single" w:color="000000" w:sz="4" w:space="0"/>
              <w:right w:val="single" w:color="000000" w:sz="4" w:space="0"/>
            </w:tcBorders>
            <w:vAlign w:val="center"/>
          </w:tcPr>
          <w:p w14:paraId="78E707FB">
            <w:pPr>
              <w:widowControl/>
              <w:shd w:val="clear" w:color="auto" w:fill="auto"/>
              <w:spacing w:line="560" w:lineRule="exact"/>
              <w:jc w:val="center"/>
              <w:textAlignment w:val="center"/>
              <w:rPr>
                <w:rFonts w:hint="default" w:ascii="Times New Roman" w:hAnsi="Times New Roman" w:eastAsia="仿宋_GB2312" w:cs="Times New Roman"/>
                <w:b/>
                <w:color w:val="000000"/>
                <w:kern w:val="0"/>
                <w:sz w:val="32"/>
                <w:szCs w:val="32"/>
                <w:lang w:bidi="ar"/>
              </w:rPr>
            </w:pPr>
          </w:p>
        </w:tc>
      </w:tr>
      <w:tr w14:paraId="041B65D4">
        <w:tblPrEx>
          <w:tblCellMar>
            <w:top w:w="15" w:type="dxa"/>
            <w:left w:w="15" w:type="dxa"/>
            <w:bottom w:w="15" w:type="dxa"/>
            <w:right w:w="15" w:type="dxa"/>
          </w:tblCellMar>
        </w:tblPrEx>
        <w:trPr>
          <w:trHeight w:val="1474" w:hRule="exact"/>
        </w:trPr>
        <w:tc>
          <w:tcPr>
            <w:tcW w:w="3200" w:type="dxa"/>
            <w:tcBorders>
              <w:top w:val="single" w:color="000000" w:sz="4" w:space="0"/>
              <w:left w:val="single" w:color="000000" w:sz="4" w:space="0"/>
              <w:bottom w:val="single" w:color="000000" w:sz="4" w:space="0"/>
              <w:right w:val="single" w:color="000000" w:sz="4" w:space="0"/>
            </w:tcBorders>
            <w:vAlign w:val="center"/>
          </w:tcPr>
          <w:p w14:paraId="2CA1AFF2">
            <w:pPr>
              <w:widowControl/>
              <w:shd w:val="clear" w:color="auto" w:fill="auto"/>
              <w:spacing w:line="560" w:lineRule="exact"/>
              <w:jc w:val="center"/>
              <w:textAlignment w:val="center"/>
              <w:rPr>
                <w:rFonts w:hint="default" w:ascii="Times New Roman" w:hAnsi="Times New Roman" w:eastAsia="仿宋_GB2312" w:cs="Times New Roman"/>
                <w:b/>
                <w:color w:val="000000"/>
                <w:kern w:val="0"/>
                <w:sz w:val="32"/>
                <w:szCs w:val="32"/>
                <w:lang w:bidi="ar"/>
              </w:rPr>
            </w:pPr>
            <w:r>
              <w:rPr>
                <w:rFonts w:hint="default" w:ascii="Times New Roman" w:hAnsi="Times New Roman" w:eastAsia="仿宋_GB2312" w:cs="Times New Roman"/>
                <w:b/>
                <w:color w:val="000000"/>
                <w:kern w:val="0"/>
                <w:sz w:val="32"/>
                <w:szCs w:val="32"/>
                <w:lang w:bidi="ar"/>
              </w:rPr>
              <w:t>报价</w:t>
            </w:r>
          </w:p>
        </w:tc>
        <w:tc>
          <w:tcPr>
            <w:tcW w:w="5483" w:type="dxa"/>
            <w:tcBorders>
              <w:top w:val="single" w:color="000000" w:sz="4" w:space="0"/>
              <w:left w:val="single" w:color="000000" w:sz="4" w:space="0"/>
              <w:bottom w:val="single" w:color="000000" w:sz="4" w:space="0"/>
              <w:right w:val="single" w:color="000000" w:sz="4" w:space="0"/>
            </w:tcBorders>
            <w:vAlign w:val="center"/>
          </w:tcPr>
          <w:p w14:paraId="3343B926">
            <w:pPr>
              <w:widowControl/>
              <w:shd w:val="clear" w:color="auto" w:fill="auto"/>
              <w:spacing w:line="560" w:lineRule="exact"/>
              <w:jc w:val="center"/>
              <w:textAlignment w:val="center"/>
              <w:rPr>
                <w:rFonts w:hint="default" w:ascii="Times New Roman" w:hAnsi="Times New Roman" w:eastAsia="仿宋_GB2312" w:cs="Times New Roman"/>
                <w:b/>
                <w:color w:val="000000"/>
                <w:kern w:val="0"/>
                <w:sz w:val="32"/>
                <w:szCs w:val="32"/>
                <w:lang w:val="en-US" w:bidi="ar"/>
              </w:rPr>
            </w:pPr>
            <w:r>
              <w:rPr>
                <w:rFonts w:hint="eastAsia" w:ascii="仿宋_GB2312" w:hAnsi="仿宋_GB2312" w:eastAsia="仿宋_GB2312" w:cs="仿宋_GB2312"/>
                <w:sz w:val="32"/>
                <w:szCs w:val="32"/>
                <w:highlight w:val="none"/>
                <w:u w:val="single"/>
                <w:lang w:val="en-US" w:eastAsia="zh-CN"/>
              </w:rPr>
              <w:t xml:space="preserve">***** </w:t>
            </w:r>
            <w:r>
              <w:rPr>
                <w:rFonts w:hint="eastAsia" w:ascii="仿宋_GB2312" w:hAnsi="仿宋_GB2312" w:eastAsia="仿宋_GB2312" w:cs="仿宋_GB2312"/>
                <w:sz w:val="32"/>
                <w:szCs w:val="32"/>
                <w:highlight w:val="none"/>
                <w:u w:val="none"/>
                <w:lang w:val="en-US" w:eastAsia="zh-CN"/>
              </w:rPr>
              <w:t>万元（含税）</w:t>
            </w:r>
          </w:p>
        </w:tc>
      </w:tr>
    </w:tbl>
    <w:p w14:paraId="4252B442">
      <w:pPr>
        <w:shd w:val="clear" w:color="auto" w:fill="auto"/>
        <w:adjustRightInd w:val="0"/>
        <w:spacing w:line="560" w:lineRule="exact"/>
        <w:ind w:firstLine="640" w:firstLineChars="200"/>
        <w:jc w:val="right"/>
        <w:rPr>
          <w:rFonts w:hint="default" w:ascii="Times New Roman" w:hAnsi="Times New Roman" w:eastAsia="仿宋_GB2312" w:cs="Times New Roman"/>
          <w:sz w:val="32"/>
          <w:szCs w:val="32"/>
          <w:highlight w:val="none"/>
          <w:lang w:val="en-US" w:eastAsia="zh-CN"/>
        </w:rPr>
      </w:pPr>
    </w:p>
    <w:p w14:paraId="5DC3783B">
      <w:pPr>
        <w:shd w:val="clear" w:color="auto" w:fill="auto"/>
        <w:adjustRightInd w:val="0"/>
        <w:spacing w:line="560" w:lineRule="exact"/>
        <w:ind w:firstLine="640" w:firstLineChars="200"/>
        <w:jc w:val="right"/>
        <w:rPr>
          <w:rFonts w:hint="default" w:ascii="Times New Roman" w:hAnsi="Times New Roman" w:eastAsia="仿宋_GB2312" w:cs="Times New Roman"/>
          <w:sz w:val="32"/>
          <w:szCs w:val="32"/>
          <w:highlight w:val="none"/>
          <w:lang w:val="en-US" w:eastAsia="zh-CN"/>
        </w:rPr>
      </w:pPr>
    </w:p>
    <w:p w14:paraId="7D187FCF">
      <w:pPr>
        <w:pStyle w:val="4"/>
        <w:ind w:firstLine="5461" w:firstLineChars="1700"/>
        <w:rPr>
          <w:rFonts w:hint="default" w:ascii="Times New Roman" w:hAnsi="Times New Roman" w:eastAsia="仿宋_GB2312" w:cs="Times New Roman"/>
          <w:sz w:val="32"/>
          <w:szCs w:val="32"/>
          <w:highlight w:val="none"/>
          <w:lang w:val="en-US" w:eastAsia="zh-CN"/>
        </w:rPr>
      </w:pPr>
      <w:r>
        <w:rPr>
          <w:rFonts w:hint="default" w:ascii="Times New Roman" w:hAnsi="Times New Roman" w:eastAsia="仿宋_GB2312" w:cs="Times New Roman"/>
          <w:sz w:val="32"/>
          <w:szCs w:val="32"/>
          <w:highlight w:val="none"/>
          <w:lang w:val="en-US" w:eastAsia="zh-CN"/>
        </w:rPr>
        <w:t>年    月    日</w:t>
      </w:r>
    </w:p>
    <w:p w14:paraId="12DD6B8D">
      <w:pPr>
        <w:rPr>
          <w:rFonts w:hint="default" w:ascii="Times New Roman" w:hAnsi="Times New Roman" w:eastAsia="仿宋_GB2312" w:cs="Times New Roman"/>
          <w:sz w:val="32"/>
          <w:szCs w:val="32"/>
          <w:highlight w:val="none"/>
          <w:lang w:val="en-US" w:eastAsia="zh-CN"/>
        </w:rPr>
      </w:pPr>
    </w:p>
    <w:p w14:paraId="4CC7C5F6">
      <w:pPr>
        <w:rPr>
          <w:rFonts w:hint="default" w:ascii="Times New Roman" w:hAnsi="Times New Roman" w:eastAsia="仿宋_GB2312" w:cs="Times New Roman"/>
          <w:sz w:val="32"/>
          <w:szCs w:val="32"/>
          <w:highlight w:val="none"/>
          <w:lang w:val="en-US" w:eastAsia="zh-CN"/>
        </w:rPr>
      </w:pPr>
      <w:r>
        <w:rPr>
          <w:rFonts w:hint="default" w:ascii="Times New Roman" w:hAnsi="Times New Roman" w:eastAsia="仿宋_GB2312" w:cs="Times New Roman"/>
          <w:sz w:val="32"/>
          <w:szCs w:val="32"/>
          <w:highlight w:val="none"/>
          <w:lang w:val="en-US" w:eastAsia="zh-CN"/>
        </w:rPr>
        <w:t>附件2</w:t>
      </w:r>
    </w:p>
    <w:p w14:paraId="62E5ABB6">
      <w:pPr>
        <w:pStyle w:val="9"/>
        <w:spacing w:line="240" w:lineRule="auto"/>
        <w:ind w:firstLine="0" w:firstLineChars="0"/>
        <w:contextualSpacing/>
        <w:jc w:val="center"/>
        <w:rPr>
          <w:rFonts w:hint="default" w:ascii="Times New Roman" w:hAnsi="Times New Roman" w:eastAsia="方正小标宋简体" w:cs="Times New Roman"/>
          <w:b w:val="0"/>
          <w:bCs/>
          <w:sz w:val="44"/>
          <w:szCs w:val="44"/>
          <w:lang w:val="zh-CN"/>
        </w:rPr>
      </w:pPr>
      <w:r>
        <w:rPr>
          <w:rFonts w:hint="default" w:ascii="Times New Roman" w:hAnsi="Times New Roman" w:eastAsia="方正小标宋简体" w:cs="Times New Roman"/>
          <w:b w:val="0"/>
          <w:bCs/>
          <w:sz w:val="44"/>
          <w:szCs w:val="44"/>
          <w:lang w:val="zh-CN"/>
        </w:rPr>
        <w:t>评标标准</w:t>
      </w:r>
    </w:p>
    <w:p w14:paraId="4A3E632A">
      <w:pPr>
        <w:keepNext w:val="0"/>
        <w:keepLines w:val="0"/>
        <w:pageBreakBefore w:val="0"/>
        <w:widowControl w:val="0"/>
        <w:kinsoku/>
        <w:wordWrap/>
        <w:overflowPunct/>
        <w:topLinePunct w:val="0"/>
        <w:autoSpaceDE/>
        <w:autoSpaceDN/>
        <w:bidi w:val="0"/>
        <w:adjustRightInd/>
        <w:snapToGrid/>
        <w:spacing w:line="580" w:lineRule="exact"/>
        <w:ind w:firstLine="643" w:firstLineChars="200"/>
        <w:textAlignment w:val="auto"/>
        <w:rPr>
          <w:rFonts w:hint="default" w:ascii="Times New Roman" w:hAnsi="Times New Roman" w:eastAsia="仿宋_GB2312" w:cs="Times New Roman"/>
          <w:b/>
          <w:bCs/>
          <w:sz w:val="32"/>
          <w:szCs w:val="32"/>
          <w:lang w:val="zh-CN" w:eastAsia="zh-CN"/>
        </w:rPr>
      </w:pPr>
      <w:r>
        <w:rPr>
          <w:rFonts w:hint="default" w:ascii="Times New Roman" w:hAnsi="Times New Roman" w:eastAsia="仿宋_GB2312" w:cs="Times New Roman"/>
          <w:b/>
          <w:bCs/>
          <w:sz w:val="32"/>
          <w:szCs w:val="32"/>
          <w:lang w:val="zh-CN" w:eastAsia="zh-CN"/>
        </w:rPr>
        <w:t>一、资格审查</w:t>
      </w:r>
    </w:p>
    <w:p w14:paraId="6389A14B">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default" w:ascii="Times New Roman" w:hAnsi="Times New Roman" w:eastAsia="仿宋_GB2312" w:cs="Times New Roman"/>
          <w:color w:val="FF0000"/>
          <w:sz w:val="32"/>
          <w:szCs w:val="32"/>
          <w:lang w:val="zh-CN" w:eastAsia="zh-CN"/>
        </w:rPr>
      </w:pPr>
      <w:r>
        <w:rPr>
          <w:rFonts w:hint="default" w:ascii="Times New Roman" w:hAnsi="Times New Roman" w:eastAsia="仿宋_GB2312" w:cs="Times New Roman"/>
          <w:sz w:val="32"/>
          <w:szCs w:val="32"/>
          <w:lang w:eastAsia="zh-CN"/>
        </w:rPr>
        <w:t>评审小组对</w:t>
      </w:r>
      <w:r>
        <w:rPr>
          <w:rFonts w:hint="default" w:ascii="Times New Roman" w:hAnsi="Times New Roman" w:eastAsia="仿宋_GB2312" w:cs="Times New Roman"/>
          <w:sz w:val="32"/>
          <w:szCs w:val="32"/>
          <w:lang w:val="en-US" w:eastAsia="zh-CN"/>
        </w:rPr>
        <w:t>申请</w:t>
      </w:r>
      <w:r>
        <w:rPr>
          <w:rFonts w:hint="default" w:ascii="Times New Roman" w:hAnsi="Times New Roman" w:eastAsia="仿宋_GB2312" w:cs="Times New Roman"/>
          <w:sz w:val="32"/>
          <w:szCs w:val="32"/>
          <w:lang w:eastAsia="zh-CN"/>
        </w:rPr>
        <w:t>人资格进行检查。</w:t>
      </w:r>
      <w:r>
        <w:rPr>
          <w:rFonts w:hint="default" w:ascii="Times New Roman" w:hAnsi="Times New Roman" w:eastAsia="仿宋_GB2312" w:cs="Times New Roman"/>
          <w:sz w:val="32"/>
          <w:szCs w:val="32"/>
          <w:lang w:val="zh-CN" w:eastAsia="zh-CN"/>
        </w:rPr>
        <w:t>确定符合资格的</w:t>
      </w:r>
      <w:r>
        <w:rPr>
          <w:rFonts w:hint="default" w:ascii="Times New Roman" w:hAnsi="Times New Roman" w:eastAsia="仿宋_GB2312" w:cs="Times New Roman"/>
          <w:sz w:val="32"/>
          <w:szCs w:val="32"/>
          <w:lang w:val="en-US" w:eastAsia="zh-CN"/>
        </w:rPr>
        <w:t>申请</w:t>
      </w:r>
      <w:r>
        <w:rPr>
          <w:rFonts w:hint="default" w:ascii="Times New Roman" w:hAnsi="Times New Roman" w:eastAsia="仿宋_GB2312" w:cs="Times New Roman"/>
          <w:sz w:val="32"/>
          <w:szCs w:val="32"/>
          <w:lang w:val="zh-CN" w:eastAsia="zh-CN"/>
        </w:rPr>
        <w:t>人不少于3</w:t>
      </w:r>
      <w:r>
        <w:rPr>
          <w:rFonts w:hint="default" w:ascii="Times New Roman" w:hAnsi="Times New Roman" w:eastAsia="仿宋_GB2312" w:cs="Times New Roman"/>
          <w:color w:val="auto"/>
          <w:sz w:val="32"/>
          <w:szCs w:val="32"/>
          <w:lang w:val="zh-CN" w:eastAsia="zh-CN"/>
        </w:rPr>
        <w:t>家后对投标文件进行符合性审查，</w:t>
      </w:r>
      <w:r>
        <w:rPr>
          <w:rFonts w:hint="default" w:ascii="Times New Roman" w:hAnsi="Times New Roman" w:eastAsia="仿宋_GB2312" w:cs="Times New Roman"/>
          <w:color w:val="auto"/>
          <w:sz w:val="32"/>
          <w:szCs w:val="32"/>
          <w:lang w:val="en-US" w:eastAsia="zh-CN"/>
        </w:rPr>
        <w:t>少于三家则本次评标过程无效</w:t>
      </w:r>
      <w:r>
        <w:rPr>
          <w:rFonts w:hint="default" w:ascii="Times New Roman" w:hAnsi="Times New Roman" w:eastAsia="仿宋_GB2312" w:cs="Times New Roman"/>
          <w:color w:val="auto"/>
          <w:sz w:val="32"/>
          <w:szCs w:val="32"/>
          <w:lang w:val="zh-CN" w:eastAsia="zh-CN"/>
        </w:rPr>
        <w:t>。</w:t>
      </w:r>
    </w:p>
    <w:p w14:paraId="36E2B090">
      <w:pPr>
        <w:keepNext w:val="0"/>
        <w:keepLines w:val="0"/>
        <w:pageBreakBefore w:val="0"/>
        <w:widowControl w:val="0"/>
        <w:kinsoku/>
        <w:wordWrap/>
        <w:overflowPunct/>
        <w:topLinePunct w:val="0"/>
        <w:autoSpaceDE/>
        <w:autoSpaceDN/>
        <w:bidi w:val="0"/>
        <w:adjustRightInd/>
        <w:snapToGrid/>
        <w:spacing w:line="580" w:lineRule="exact"/>
        <w:ind w:firstLine="643" w:firstLineChars="200"/>
        <w:textAlignment w:val="auto"/>
        <w:rPr>
          <w:rFonts w:hint="default" w:ascii="Times New Roman" w:hAnsi="Times New Roman" w:eastAsia="仿宋_GB2312" w:cs="Times New Roman"/>
          <w:b/>
          <w:bCs/>
          <w:sz w:val="32"/>
          <w:szCs w:val="32"/>
          <w:lang w:val="en-US" w:eastAsia="zh-CN"/>
        </w:rPr>
      </w:pPr>
      <w:r>
        <w:rPr>
          <w:rFonts w:hint="default" w:ascii="Times New Roman" w:hAnsi="Times New Roman" w:eastAsia="仿宋_GB2312" w:cs="Times New Roman"/>
          <w:b/>
          <w:bCs/>
          <w:sz w:val="32"/>
          <w:szCs w:val="32"/>
          <w:lang w:val="en-US" w:eastAsia="zh-CN"/>
        </w:rPr>
        <w:t>二、评审</w:t>
      </w:r>
    </w:p>
    <w:p w14:paraId="3BED5BC7">
      <w:pPr>
        <w:keepNext w:val="0"/>
        <w:keepLines w:val="0"/>
        <w:pageBreakBefore w:val="0"/>
        <w:widowControl w:val="0"/>
        <w:kinsoku/>
        <w:wordWrap/>
        <w:overflowPunct/>
        <w:topLinePunct w:val="0"/>
        <w:autoSpaceDE/>
        <w:autoSpaceDN/>
        <w:bidi w:val="0"/>
        <w:adjustRightInd/>
        <w:snapToGrid/>
        <w:spacing w:line="580" w:lineRule="exact"/>
        <w:ind w:firstLine="643" w:firstLineChars="200"/>
        <w:textAlignment w:val="auto"/>
        <w:rPr>
          <w:rFonts w:hint="default" w:ascii="Times New Roman" w:hAnsi="Times New Roman" w:eastAsia="仿宋_GB2312" w:cs="Times New Roman"/>
          <w:b/>
          <w:bCs/>
          <w:sz w:val="32"/>
          <w:szCs w:val="32"/>
          <w:lang w:val="zh-CN" w:eastAsia="zh-CN"/>
        </w:rPr>
      </w:pPr>
      <w:r>
        <w:rPr>
          <w:rFonts w:hint="default" w:ascii="Times New Roman" w:hAnsi="Times New Roman" w:eastAsia="仿宋_GB2312" w:cs="Times New Roman"/>
          <w:b/>
          <w:bCs/>
          <w:sz w:val="32"/>
          <w:szCs w:val="32"/>
          <w:lang w:val="zh-CN" w:eastAsia="zh-CN"/>
        </w:rPr>
        <w:t>（一）评审方法</w:t>
      </w:r>
    </w:p>
    <w:p w14:paraId="4A992CD7">
      <w:pPr>
        <w:keepNext w:val="0"/>
        <w:keepLines w:val="0"/>
        <w:pageBreakBefore w:val="0"/>
        <w:widowControl w:val="0"/>
        <w:kinsoku/>
        <w:wordWrap/>
        <w:overflowPunct/>
        <w:topLinePunct w:val="0"/>
        <w:autoSpaceDE/>
        <w:autoSpaceDN/>
        <w:bidi w:val="0"/>
        <w:adjustRightInd/>
        <w:snapToGrid/>
        <w:spacing w:line="580" w:lineRule="exact"/>
        <w:ind w:firstLine="643" w:firstLineChars="200"/>
        <w:textAlignment w:val="auto"/>
        <w:rPr>
          <w:rFonts w:hint="default" w:ascii="Times New Roman" w:hAnsi="Times New Roman" w:eastAsia="仿宋_GB2312" w:cs="Times New Roman"/>
          <w:b/>
          <w:bCs/>
          <w:sz w:val="32"/>
          <w:szCs w:val="32"/>
          <w:lang w:val="zh-CN" w:eastAsia="zh-CN"/>
        </w:rPr>
      </w:pPr>
      <w:r>
        <w:rPr>
          <w:rFonts w:hint="default" w:ascii="Times New Roman" w:hAnsi="Times New Roman" w:eastAsia="仿宋_GB2312" w:cs="Times New Roman"/>
          <w:b/>
          <w:bCs/>
          <w:sz w:val="32"/>
          <w:szCs w:val="32"/>
          <w:lang w:val="zh-CN" w:eastAsia="zh-CN"/>
        </w:rPr>
        <w:t>本项目采用综合评分法。总分为 100 分。</w:t>
      </w:r>
    </w:p>
    <w:p w14:paraId="01E90491">
      <w:pPr>
        <w:keepNext w:val="0"/>
        <w:keepLines w:val="0"/>
        <w:pageBreakBefore w:val="0"/>
        <w:widowControl w:val="0"/>
        <w:kinsoku/>
        <w:wordWrap/>
        <w:overflowPunct/>
        <w:topLinePunct w:val="0"/>
        <w:autoSpaceDE/>
        <w:autoSpaceDN/>
        <w:bidi w:val="0"/>
        <w:adjustRightInd/>
        <w:snapToGrid/>
        <w:spacing w:line="580" w:lineRule="exact"/>
        <w:ind w:firstLine="643" w:firstLineChars="200"/>
        <w:textAlignment w:val="auto"/>
        <w:rPr>
          <w:rFonts w:hint="default" w:ascii="Times New Roman" w:hAnsi="Times New Roman" w:eastAsia="仿宋_GB2312" w:cs="Times New Roman"/>
          <w:b/>
          <w:bCs/>
          <w:sz w:val="32"/>
          <w:szCs w:val="32"/>
          <w:lang w:val="zh-CN" w:eastAsia="zh-CN"/>
        </w:rPr>
      </w:pPr>
      <w:r>
        <w:rPr>
          <w:rFonts w:hint="default" w:ascii="Times New Roman" w:hAnsi="Times New Roman" w:eastAsia="仿宋_GB2312" w:cs="Times New Roman"/>
          <w:b/>
          <w:bCs/>
          <w:sz w:val="32"/>
          <w:szCs w:val="32"/>
          <w:lang w:val="zh-CN" w:eastAsia="zh-CN"/>
        </w:rPr>
        <w:t>（二）评分办法</w:t>
      </w:r>
    </w:p>
    <w:tbl>
      <w:tblPr>
        <w:tblStyle w:val="15"/>
        <w:tblW w:w="1016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304"/>
        <w:gridCol w:w="7863"/>
      </w:tblGrid>
      <w:tr w14:paraId="28876B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304" w:type="dxa"/>
            <w:vAlign w:val="center"/>
          </w:tcPr>
          <w:p w14:paraId="3D8F8B87">
            <w:pPr>
              <w:tabs>
                <w:tab w:val="left" w:pos="1260"/>
              </w:tabs>
              <w:autoSpaceDE w:val="0"/>
              <w:autoSpaceDN w:val="0"/>
              <w:adjustRightInd w:val="0"/>
              <w:snapToGrid w:val="0"/>
              <w:spacing w:line="276" w:lineRule="auto"/>
              <w:jc w:val="center"/>
              <w:rPr>
                <w:rFonts w:hint="default" w:ascii="Times New Roman" w:hAnsi="Times New Roman" w:eastAsia="仿宋_GB2312" w:cs="Times New Roman"/>
                <w:sz w:val="32"/>
                <w:szCs w:val="32"/>
                <w:lang w:val="zh-CN"/>
              </w:rPr>
            </w:pPr>
            <w:r>
              <w:rPr>
                <w:rFonts w:hint="default" w:ascii="Times New Roman" w:hAnsi="Times New Roman" w:eastAsia="仿宋_GB2312" w:cs="Times New Roman"/>
                <w:sz w:val="32"/>
                <w:szCs w:val="32"/>
                <w:lang w:val="zh-CN"/>
              </w:rPr>
              <w:t>分值构成</w:t>
            </w:r>
          </w:p>
          <w:p w14:paraId="35E50498">
            <w:pPr>
              <w:tabs>
                <w:tab w:val="left" w:pos="1260"/>
              </w:tabs>
              <w:autoSpaceDE w:val="0"/>
              <w:autoSpaceDN w:val="0"/>
              <w:adjustRightInd w:val="0"/>
              <w:snapToGrid w:val="0"/>
              <w:spacing w:line="276" w:lineRule="auto"/>
              <w:jc w:val="center"/>
              <w:rPr>
                <w:rFonts w:hint="default" w:ascii="Times New Roman" w:hAnsi="Times New Roman" w:eastAsia="仿宋_GB2312" w:cs="Times New Roman"/>
                <w:sz w:val="32"/>
                <w:szCs w:val="32"/>
                <w:lang w:val="zh-CN"/>
              </w:rPr>
            </w:pPr>
            <w:r>
              <w:rPr>
                <w:rFonts w:hint="default" w:ascii="Times New Roman" w:hAnsi="Times New Roman" w:eastAsia="仿宋_GB2312" w:cs="Times New Roman"/>
                <w:sz w:val="32"/>
                <w:szCs w:val="32"/>
                <w:lang w:val="zh-CN"/>
              </w:rPr>
              <w:t>(总分100分)</w:t>
            </w:r>
          </w:p>
        </w:tc>
        <w:tc>
          <w:tcPr>
            <w:tcW w:w="7863" w:type="dxa"/>
            <w:vAlign w:val="center"/>
          </w:tcPr>
          <w:p w14:paraId="09786D0A">
            <w:pPr>
              <w:widowControl/>
              <w:adjustRightInd w:val="0"/>
              <w:snapToGrid w:val="0"/>
              <w:spacing w:line="276" w:lineRule="auto"/>
              <w:jc w:val="left"/>
              <w:rPr>
                <w:rFonts w:hint="default" w:ascii="Times New Roman" w:hAnsi="Times New Roman" w:eastAsia="仿宋_GB2312" w:cs="Times New Roman"/>
                <w:sz w:val="32"/>
                <w:szCs w:val="32"/>
                <w:lang w:val="zh-CN"/>
              </w:rPr>
            </w:pPr>
            <w:r>
              <w:rPr>
                <w:rFonts w:hint="default" w:ascii="Times New Roman" w:hAnsi="Times New Roman" w:eastAsia="仿宋_GB2312" w:cs="Times New Roman"/>
                <w:sz w:val="32"/>
                <w:szCs w:val="32"/>
                <w:lang w:val="zh-CN"/>
              </w:rPr>
              <w:t>企业报价：</w:t>
            </w:r>
            <w:r>
              <w:rPr>
                <w:rFonts w:hint="default" w:ascii="Times New Roman" w:hAnsi="Times New Roman" w:eastAsia="仿宋_GB2312" w:cs="Times New Roman"/>
                <w:sz w:val="32"/>
                <w:szCs w:val="32"/>
                <w:lang w:val="en-US" w:eastAsia="zh-CN"/>
              </w:rPr>
              <w:t xml:space="preserve"> 30 </w:t>
            </w:r>
            <w:r>
              <w:rPr>
                <w:rFonts w:hint="default" w:ascii="Times New Roman" w:hAnsi="Times New Roman" w:eastAsia="仿宋_GB2312" w:cs="Times New Roman"/>
                <w:sz w:val="32"/>
                <w:szCs w:val="32"/>
                <w:lang w:val="zh-CN"/>
              </w:rPr>
              <w:t>分</w:t>
            </w:r>
          </w:p>
          <w:p w14:paraId="78DE9B5D">
            <w:pPr>
              <w:widowControl/>
              <w:adjustRightInd w:val="0"/>
              <w:snapToGrid w:val="0"/>
              <w:spacing w:line="276" w:lineRule="auto"/>
              <w:jc w:val="left"/>
              <w:rPr>
                <w:rFonts w:hint="default" w:ascii="Times New Roman" w:hAnsi="Times New Roman" w:eastAsia="仿宋_GB2312" w:cs="Times New Roman"/>
                <w:sz w:val="32"/>
                <w:szCs w:val="32"/>
                <w:lang w:val="zh-CN" w:eastAsia="zh-CN"/>
              </w:rPr>
            </w:pPr>
            <w:bookmarkStart w:id="0" w:name="OLE_LINK1"/>
            <w:r>
              <w:rPr>
                <w:rFonts w:hint="default" w:ascii="Times New Roman" w:hAnsi="Times New Roman" w:eastAsia="仿宋_GB2312" w:cs="Times New Roman"/>
                <w:sz w:val="32"/>
                <w:szCs w:val="32"/>
                <w:lang w:val="en-US" w:eastAsia="zh-CN"/>
              </w:rPr>
              <w:t>服务</w:t>
            </w:r>
            <w:bookmarkEnd w:id="0"/>
            <w:r>
              <w:rPr>
                <w:rFonts w:hint="default" w:ascii="Times New Roman" w:hAnsi="Times New Roman" w:eastAsia="仿宋_GB2312" w:cs="Times New Roman"/>
                <w:sz w:val="32"/>
                <w:szCs w:val="32"/>
                <w:lang w:val="en-US" w:eastAsia="zh-CN"/>
              </w:rPr>
              <w:t>方案</w:t>
            </w:r>
            <w:r>
              <w:rPr>
                <w:rFonts w:hint="default" w:ascii="Times New Roman" w:hAnsi="Times New Roman" w:eastAsia="仿宋_GB2312" w:cs="Times New Roman"/>
                <w:sz w:val="32"/>
                <w:szCs w:val="32"/>
                <w:lang w:val="zh-CN" w:eastAsia="zh-CN"/>
              </w:rPr>
              <w:t>：</w:t>
            </w:r>
            <w:r>
              <w:rPr>
                <w:rFonts w:hint="default" w:ascii="Times New Roman" w:hAnsi="Times New Roman" w:eastAsia="仿宋_GB2312" w:cs="Times New Roman"/>
                <w:sz w:val="32"/>
                <w:szCs w:val="32"/>
                <w:lang w:val="en-US" w:eastAsia="zh-CN"/>
              </w:rPr>
              <w:t xml:space="preserve"> 30</w:t>
            </w:r>
            <w:r>
              <w:rPr>
                <w:rFonts w:hint="default" w:ascii="Times New Roman" w:hAnsi="Times New Roman" w:eastAsia="仿宋_GB2312" w:cs="Times New Roman"/>
                <w:sz w:val="32"/>
                <w:szCs w:val="32"/>
                <w:lang w:val="zh-CN" w:eastAsia="zh-CN"/>
              </w:rPr>
              <w:t xml:space="preserve"> 分</w:t>
            </w:r>
          </w:p>
          <w:p w14:paraId="104F70B6">
            <w:pPr>
              <w:widowControl/>
              <w:adjustRightInd w:val="0"/>
              <w:snapToGrid w:val="0"/>
              <w:spacing w:line="276" w:lineRule="auto"/>
              <w:jc w:val="left"/>
              <w:rPr>
                <w:rFonts w:hint="default" w:ascii="Times New Roman" w:hAnsi="Times New Roman" w:eastAsia="仿宋_GB2312" w:cs="Times New Roman"/>
                <w:sz w:val="32"/>
                <w:szCs w:val="32"/>
                <w:lang w:val="zh-CN" w:eastAsia="zh-CN"/>
              </w:rPr>
            </w:pPr>
            <w:r>
              <w:rPr>
                <w:rFonts w:hint="default" w:ascii="Times New Roman" w:hAnsi="Times New Roman" w:eastAsia="仿宋_GB2312" w:cs="Times New Roman"/>
                <w:sz w:val="32"/>
                <w:szCs w:val="32"/>
                <w:lang w:val="en-US" w:eastAsia="zh-CN"/>
              </w:rPr>
              <w:t>企业业绩</w:t>
            </w:r>
            <w:r>
              <w:rPr>
                <w:rFonts w:hint="default" w:ascii="Times New Roman" w:hAnsi="Times New Roman" w:eastAsia="仿宋_GB2312" w:cs="Times New Roman"/>
                <w:sz w:val="32"/>
                <w:szCs w:val="32"/>
                <w:lang w:val="zh-CN" w:eastAsia="zh-CN"/>
              </w:rPr>
              <w:t>：</w:t>
            </w:r>
            <w:r>
              <w:rPr>
                <w:rFonts w:hint="default" w:ascii="Times New Roman" w:hAnsi="Times New Roman" w:eastAsia="仿宋_GB2312" w:cs="Times New Roman"/>
                <w:sz w:val="32"/>
                <w:szCs w:val="32"/>
                <w:lang w:val="en-US" w:eastAsia="zh-CN"/>
              </w:rPr>
              <w:t xml:space="preserve"> 20 </w:t>
            </w:r>
            <w:r>
              <w:rPr>
                <w:rFonts w:hint="default" w:ascii="Times New Roman" w:hAnsi="Times New Roman" w:eastAsia="仿宋_GB2312" w:cs="Times New Roman"/>
                <w:sz w:val="32"/>
                <w:szCs w:val="32"/>
                <w:lang w:val="zh-CN" w:eastAsia="zh-CN"/>
              </w:rPr>
              <w:t>分</w:t>
            </w:r>
          </w:p>
          <w:p w14:paraId="27829566">
            <w:pPr>
              <w:widowControl/>
              <w:adjustRightInd w:val="0"/>
              <w:snapToGrid w:val="0"/>
              <w:spacing w:line="276" w:lineRule="auto"/>
              <w:jc w:val="left"/>
              <w:rPr>
                <w:rFonts w:hint="default" w:ascii="Times New Roman" w:hAnsi="Times New Roman" w:cs="Times New Roman"/>
                <w:szCs w:val="24"/>
                <w:lang w:val="en-US"/>
              </w:rPr>
            </w:pPr>
            <w:r>
              <w:rPr>
                <w:rFonts w:hint="default" w:ascii="Times New Roman" w:hAnsi="Times New Roman" w:eastAsia="仿宋_GB2312" w:cs="Times New Roman"/>
                <w:sz w:val="32"/>
                <w:szCs w:val="32"/>
                <w:lang w:val="en-US" w:eastAsia="zh-CN"/>
              </w:rPr>
              <w:t>管理机构： 20 分</w:t>
            </w:r>
          </w:p>
        </w:tc>
      </w:tr>
      <w:tr w14:paraId="7112DE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6" w:hRule="atLeast"/>
          <w:jc w:val="center"/>
        </w:trPr>
        <w:tc>
          <w:tcPr>
            <w:tcW w:w="2304" w:type="dxa"/>
            <w:tcMar>
              <w:top w:w="0" w:type="dxa"/>
              <w:left w:w="0" w:type="dxa"/>
              <w:bottom w:w="0" w:type="dxa"/>
              <w:right w:w="0" w:type="dxa"/>
            </w:tcMar>
            <w:vAlign w:val="center"/>
          </w:tcPr>
          <w:p w14:paraId="1FC0D8C1">
            <w:pPr>
              <w:jc w:val="center"/>
              <w:rPr>
                <w:rFonts w:hint="default" w:ascii="Times New Roman" w:hAnsi="Times New Roman" w:eastAsia="仿宋_GB2312" w:cs="Times New Roman"/>
                <w:sz w:val="32"/>
                <w:szCs w:val="32"/>
                <w:lang w:val="zh-CN"/>
              </w:rPr>
            </w:pPr>
            <w:r>
              <w:rPr>
                <w:rFonts w:hint="default" w:ascii="Times New Roman" w:hAnsi="Times New Roman" w:eastAsia="仿宋_GB2312" w:cs="Times New Roman"/>
                <w:sz w:val="32"/>
                <w:szCs w:val="32"/>
                <w:lang w:val="zh-CN"/>
              </w:rPr>
              <w:t>评审项</w:t>
            </w:r>
          </w:p>
        </w:tc>
        <w:tc>
          <w:tcPr>
            <w:tcW w:w="7863" w:type="dxa"/>
            <w:tcMar>
              <w:top w:w="0" w:type="dxa"/>
              <w:left w:w="0" w:type="dxa"/>
              <w:bottom w:w="0" w:type="dxa"/>
              <w:right w:w="0" w:type="dxa"/>
            </w:tcMar>
            <w:vAlign w:val="center"/>
          </w:tcPr>
          <w:p w14:paraId="797257D3">
            <w:pPr>
              <w:jc w:val="center"/>
              <w:rPr>
                <w:rFonts w:hint="default" w:ascii="Times New Roman" w:hAnsi="Times New Roman" w:eastAsia="仿宋_GB2312" w:cs="Times New Roman"/>
                <w:sz w:val="32"/>
                <w:szCs w:val="32"/>
                <w:lang w:val="zh-CN"/>
              </w:rPr>
            </w:pPr>
            <w:r>
              <w:rPr>
                <w:rFonts w:hint="default" w:ascii="Times New Roman" w:hAnsi="Times New Roman" w:eastAsia="仿宋_GB2312" w:cs="Times New Roman"/>
                <w:sz w:val="32"/>
                <w:szCs w:val="32"/>
                <w:lang w:val="zh-CN"/>
              </w:rPr>
              <w:t>评标标准</w:t>
            </w:r>
          </w:p>
        </w:tc>
      </w:tr>
      <w:tr w14:paraId="2A4524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99" w:hRule="atLeast"/>
          <w:jc w:val="center"/>
        </w:trPr>
        <w:tc>
          <w:tcPr>
            <w:tcW w:w="2304" w:type="dxa"/>
            <w:tcMar>
              <w:top w:w="0" w:type="dxa"/>
              <w:left w:w="0" w:type="dxa"/>
              <w:bottom w:w="0" w:type="dxa"/>
              <w:right w:w="0" w:type="dxa"/>
            </w:tcMar>
            <w:vAlign w:val="center"/>
          </w:tcPr>
          <w:p w14:paraId="78C104EB">
            <w:pPr>
              <w:adjustRightInd w:val="0"/>
              <w:snapToGrid w:val="0"/>
              <w:spacing w:line="276" w:lineRule="auto"/>
              <w:jc w:val="center"/>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lang w:val="en-US" w:eastAsia="zh-CN"/>
              </w:rPr>
              <w:t>企业</w:t>
            </w:r>
            <w:r>
              <w:rPr>
                <w:rFonts w:hint="default" w:ascii="Times New Roman" w:hAnsi="Times New Roman" w:eastAsia="仿宋_GB2312" w:cs="Times New Roman"/>
                <w:sz w:val="32"/>
                <w:szCs w:val="32"/>
              </w:rPr>
              <w:t>报价</w:t>
            </w:r>
          </w:p>
          <w:p w14:paraId="3709D8C1">
            <w:pPr>
              <w:adjustRightInd w:val="0"/>
              <w:snapToGrid w:val="0"/>
              <w:spacing w:line="276" w:lineRule="auto"/>
              <w:jc w:val="center"/>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w:t>
            </w:r>
            <w:r>
              <w:rPr>
                <w:rFonts w:hint="default" w:ascii="Times New Roman" w:hAnsi="Times New Roman" w:eastAsia="仿宋_GB2312" w:cs="Times New Roman"/>
                <w:sz w:val="32"/>
                <w:szCs w:val="32"/>
                <w:lang w:val="en-US" w:eastAsia="zh-CN"/>
              </w:rPr>
              <w:t>30</w:t>
            </w:r>
            <w:r>
              <w:rPr>
                <w:rFonts w:hint="default" w:ascii="Times New Roman" w:hAnsi="Times New Roman" w:eastAsia="仿宋_GB2312" w:cs="Times New Roman"/>
                <w:sz w:val="32"/>
                <w:szCs w:val="32"/>
              </w:rPr>
              <w:t>分）</w:t>
            </w:r>
          </w:p>
        </w:tc>
        <w:tc>
          <w:tcPr>
            <w:tcW w:w="7863" w:type="dxa"/>
            <w:tcMar>
              <w:top w:w="0" w:type="dxa"/>
              <w:left w:w="0" w:type="dxa"/>
              <w:bottom w:w="0" w:type="dxa"/>
              <w:right w:w="0" w:type="dxa"/>
            </w:tcMar>
            <w:vAlign w:val="center"/>
          </w:tcPr>
          <w:p w14:paraId="4D7102EF">
            <w:pPr>
              <w:widowControl/>
              <w:numPr>
                <w:ilvl w:val="0"/>
                <w:numId w:val="0"/>
              </w:numPr>
              <w:adjustRightInd w:val="0"/>
              <w:snapToGrid w:val="0"/>
              <w:spacing w:line="276" w:lineRule="auto"/>
              <w:jc w:val="left"/>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lang w:val="zh-CN" w:eastAsia="zh-CN"/>
              </w:rPr>
              <w:t>投标报价高于控制价的为无效报价</w:t>
            </w:r>
            <w:r>
              <w:rPr>
                <w:rFonts w:hint="default" w:ascii="仿宋_GB2312" w:hAnsi="仿宋_GB2312" w:eastAsia="仿宋_GB2312" w:cs="仿宋_GB2312"/>
                <w:sz w:val="32"/>
                <w:szCs w:val="32"/>
                <w:lang w:val="en-US" w:eastAsia="zh-CN"/>
              </w:rPr>
              <w:t>；</w:t>
            </w:r>
          </w:p>
          <w:p w14:paraId="69F81920">
            <w:pPr>
              <w:widowControl/>
              <w:numPr>
                <w:ilvl w:val="0"/>
                <w:numId w:val="0"/>
              </w:numPr>
              <w:adjustRightInd w:val="0"/>
              <w:snapToGrid w:val="0"/>
              <w:spacing w:line="276" w:lineRule="auto"/>
              <w:jc w:val="left"/>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2.所有参与的比选申请人最低的有效报价为基准报价；</w:t>
            </w:r>
          </w:p>
          <w:p w14:paraId="62E1EB2A">
            <w:pPr>
              <w:widowControl/>
              <w:numPr>
                <w:ilvl w:val="0"/>
                <w:numId w:val="0"/>
              </w:numPr>
              <w:adjustRightInd w:val="0"/>
              <w:snapToGrid w:val="0"/>
              <w:spacing w:line="276" w:lineRule="auto"/>
              <w:jc w:val="left"/>
              <w:rPr>
                <w:rFonts w:hint="default" w:ascii="Times New Roman" w:hAnsi="Times New Roman" w:eastAsia="仿宋_GB2312" w:cs="Times New Roman"/>
                <w:sz w:val="32"/>
                <w:szCs w:val="32"/>
              </w:rPr>
            </w:pPr>
            <w:r>
              <w:rPr>
                <w:rFonts w:hint="default" w:ascii="仿宋_GB2312" w:hAnsi="仿宋_GB2312" w:eastAsia="仿宋_GB2312" w:cs="仿宋_GB2312"/>
                <w:sz w:val="32"/>
                <w:szCs w:val="32"/>
                <w:lang w:val="en-US" w:eastAsia="zh-CN"/>
              </w:rPr>
              <w:t>3.报价得分=（基准报价/报价）×30分。</w:t>
            </w:r>
          </w:p>
        </w:tc>
      </w:tr>
      <w:tr w14:paraId="2860FD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17" w:hRule="atLeast"/>
          <w:jc w:val="center"/>
        </w:trPr>
        <w:tc>
          <w:tcPr>
            <w:tcW w:w="2304" w:type="dxa"/>
            <w:tcMar>
              <w:top w:w="0" w:type="dxa"/>
              <w:left w:w="0" w:type="dxa"/>
              <w:bottom w:w="0" w:type="dxa"/>
              <w:right w:w="0" w:type="dxa"/>
            </w:tcMar>
            <w:vAlign w:val="center"/>
          </w:tcPr>
          <w:p w14:paraId="5D040887">
            <w:pPr>
              <w:adjustRightInd w:val="0"/>
              <w:snapToGrid w:val="0"/>
              <w:spacing w:line="276" w:lineRule="auto"/>
              <w:jc w:val="center"/>
              <w:rPr>
                <w:rFonts w:hint="default" w:ascii="Times New Roman" w:hAnsi="Times New Roman" w:eastAsia="仿宋_GB2312" w:cs="Times New Roman"/>
                <w:color w:val="auto"/>
                <w:sz w:val="32"/>
                <w:szCs w:val="32"/>
                <w:lang w:val="en-US" w:eastAsia="zh-CN"/>
              </w:rPr>
            </w:pPr>
            <w:r>
              <w:rPr>
                <w:rFonts w:hint="eastAsia" w:ascii="Calibri" w:hAnsi="Calibri" w:eastAsia="仿宋_GB2312" w:cs="Times New Roman"/>
                <w:color w:val="auto"/>
                <w:sz w:val="32"/>
                <w:szCs w:val="32"/>
                <w:lang w:val="en-US" w:eastAsia="zh-CN"/>
              </w:rPr>
              <w:t>服务</w:t>
            </w:r>
            <w:r>
              <w:rPr>
                <w:rFonts w:hint="default" w:ascii="Times New Roman" w:hAnsi="Times New Roman" w:eastAsia="仿宋_GB2312" w:cs="Times New Roman"/>
                <w:color w:val="auto"/>
                <w:sz w:val="32"/>
                <w:szCs w:val="32"/>
                <w:lang w:val="en-US" w:eastAsia="zh-CN"/>
              </w:rPr>
              <w:t>方案</w:t>
            </w:r>
          </w:p>
          <w:p w14:paraId="3DD00AA8">
            <w:pPr>
              <w:adjustRightInd w:val="0"/>
              <w:snapToGrid w:val="0"/>
              <w:spacing w:line="276" w:lineRule="auto"/>
              <w:jc w:val="center"/>
              <w:rPr>
                <w:rFonts w:hint="default" w:ascii="Times New Roman" w:hAnsi="Times New Roman" w:eastAsia="仿宋_GB2312" w:cs="Times New Roman"/>
                <w:color w:val="FF0000"/>
                <w:sz w:val="32"/>
                <w:szCs w:val="32"/>
              </w:rPr>
            </w:pPr>
            <w:r>
              <w:rPr>
                <w:rFonts w:hint="default" w:ascii="Times New Roman" w:hAnsi="Times New Roman" w:eastAsia="仿宋_GB2312" w:cs="Times New Roman"/>
                <w:color w:val="auto"/>
                <w:sz w:val="32"/>
                <w:szCs w:val="32"/>
                <w:lang w:val="en-US" w:eastAsia="zh-CN"/>
              </w:rPr>
              <w:t>（30分）</w:t>
            </w:r>
          </w:p>
        </w:tc>
        <w:tc>
          <w:tcPr>
            <w:tcW w:w="7863" w:type="dxa"/>
            <w:tcMar>
              <w:top w:w="0" w:type="dxa"/>
              <w:left w:w="0" w:type="dxa"/>
              <w:bottom w:w="0" w:type="dxa"/>
              <w:right w:w="0" w:type="dxa"/>
            </w:tcMar>
            <w:vAlign w:val="center"/>
          </w:tcPr>
          <w:p w14:paraId="2A93F390">
            <w:pPr>
              <w:widowControl/>
              <w:numPr>
                <w:ilvl w:val="0"/>
                <w:numId w:val="0"/>
              </w:numPr>
              <w:adjustRightInd w:val="0"/>
              <w:snapToGrid w:val="0"/>
              <w:spacing w:line="276" w:lineRule="auto"/>
              <w:jc w:val="left"/>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1.阐述地质勘察工作内容、工作重点、工作方法和工作流程（①对本项目理解深入、思路清晰、方案可行性强得11-15分；②对本项目理解较为深入、思路较为清晰、方案基本可行得6-10分；③对本项目有一定的理解、思路一般、方案针对性和可操作性一般得1-5分；④没有不得分）； </w:t>
            </w:r>
          </w:p>
          <w:p w14:paraId="665C7D2B">
            <w:pPr>
              <w:widowControl/>
              <w:numPr>
                <w:ilvl w:val="0"/>
                <w:numId w:val="0"/>
              </w:numPr>
              <w:adjustRightInd w:val="0"/>
              <w:snapToGrid w:val="0"/>
              <w:spacing w:line="276" w:lineRule="auto"/>
              <w:jc w:val="left"/>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2.阐述项目的质量承诺及保证措施（①质量管理体系完善、保证措施科学、合理得7-10分；②质量管理体系较完善、保证措施可行得4-6分；③质量管理体系简单、保证措施一般得1-3分，④没有不得分）； </w:t>
            </w:r>
          </w:p>
          <w:p w14:paraId="01BED4DC">
            <w:pPr>
              <w:widowControl/>
              <w:numPr>
                <w:ilvl w:val="0"/>
                <w:numId w:val="0"/>
              </w:numPr>
              <w:adjustRightInd w:val="0"/>
              <w:snapToGrid w:val="0"/>
              <w:spacing w:line="276" w:lineRule="auto"/>
              <w:jc w:val="left"/>
              <w:rPr>
                <w:rFonts w:hint="default" w:ascii="Calibri" w:hAnsi="Calibri"/>
                <w:szCs w:val="24"/>
                <w:lang w:val="zh-CN"/>
              </w:rPr>
            </w:pPr>
            <w:r>
              <w:rPr>
                <w:rFonts w:hint="eastAsia" w:ascii="仿宋_GB2312" w:hAnsi="仿宋_GB2312" w:eastAsia="仿宋_GB2312" w:cs="仿宋_GB2312"/>
                <w:sz w:val="32"/>
                <w:szCs w:val="32"/>
                <w:lang w:val="en-US" w:eastAsia="zh-CN"/>
              </w:rPr>
              <w:t>3.服务周期保障方案（1-5分，没有不得分）。</w:t>
            </w:r>
          </w:p>
        </w:tc>
      </w:tr>
      <w:tr w14:paraId="21505C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64" w:hRule="atLeast"/>
          <w:jc w:val="center"/>
        </w:trPr>
        <w:tc>
          <w:tcPr>
            <w:tcW w:w="2304" w:type="dxa"/>
            <w:tcMar>
              <w:top w:w="0" w:type="dxa"/>
              <w:left w:w="0" w:type="dxa"/>
              <w:bottom w:w="0" w:type="dxa"/>
              <w:right w:w="0" w:type="dxa"/>
            </w:tcMar>
            <w:vAlign w:val="center"/>
          </w:tcPr>
          <w:p w14:paraId="16C94A27">
            <w:pPr>
              <w:adjustRightInd w:val="0"/>
              <w:snapToGrid w:val="0"/>
              <w:spacing w:line="276" w:lineRule="auto"/>
              <w:jc w:val="center"/>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企业业绩</w:t>
            </w:r>
          </w:p>
          <w:p w14:paraId="5F5FFB77">
            <w:pPr>
              <w:adjustRightInd w:val="0"/>
              <w:snapToGrid w:val="0"/>
              <w:spacing w:line="276" w:lineRule="auto"/>
              <w:jc w:val="center"/>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（20分）</w:t>
            </w:r>
          </w:p>
        </w:tc>
        <w:tc>
          <w:tcPr>
            <w:tcW w:w="7863" w:type="dxa"/>
            <w:tcMar>
              <w:top w:w="0" w:type="dxa"/>
              <w:left w:w="0" w:type="dxa"/>
              <w:bottom w:w="0" w:type="dxa"/>
              <w:right w:w="0" w:type="dxa"/>
            </w:tcMar>
            <w:vAlign w:val="center"/>
          </w:tcPr>
          <w:p w14:paraId="2EC3233E">
            <w:pPr>
              <w:widowControl/>
              <w:numPr>
                <w:ilvl w:val="0"/>
                <w:numId w:val="0"/>
              </w:numPr>
              <w:adjustRightInd w:val="0"/>
              <w:snapToGrid w:val="0"/>
              <w:spacing w:line="276" w:lineRule="auto"/>
              <w:jc w:val="left"/>
              <w:rPr>
                <w:rFonts w:hint="default" w:ascii="Times New Roman" w:hAnsi="Times New Roman" w:cs="Times New Roman"/>
                <w:szCs w:val="24"/>
                <w:lang w:val="en-US" w:eastAsia="zh-CN"/>
              </w:rPr>
            </w:pPr>
            <w:r>
              <w:rPr>
                <w:rFonts w:hint="eastAsia" w:ascii="仿宋_GB2312" w:hAnsi="仿宋_GB2312" w:eastAsia="仿宋_GB2312" w:cs="仿宋_GB2312"/>
                <w:sz w:val="32"/>
                <w:szCs w:val="32"/>
                <w:lang w:val="en-US" w:eastAsia="zh-CN"/>
              </w:rPr>
              <w:t>自2023年1月1日起承接过类似勘察项目工作，每项得5分，最高得20分。（需提供网上相关合同，申请文件中附复印件并加盖公章，时间以合同签订时间为准。）</w:t>
            </w:r>
          </w:p>
        </w:tc>
      </w:tr>
      <w:tr w14:paraId="13AFA2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67" w:hRule="atLeast"/>
          <w:jc w:val="center"/>
        </w:trPr>
        <w:tc>
          <w:tcPr>
            <w:tcW w:w="2304" w:type="dxa"/>
            <w:tcMar>
              <w:top w:w="0" w:type="dxa"/>
              <w:left w:w="0" w:type="dxa"/>
              <w:bottom w:w="0" w:type="dxa"/>
              <w:right w:w="0" w:type="dxa"/>
            </w:tcMar>
            <w:vAlign w:val="center"/>
          </w:tcPr>
          <w:p w14:paraId="430B7495">
            <w:pPr>
              <w:adjustRightInd w:val="0"/>
              <w:snapToGrid w:val="0"/>
              <w:spacing w:line="276" w:lineRule="auto"/>
              <w:jc w:val="center"/>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管理机构</w:t>
            </w:r>
          </w:p>
          <w:p w14:paraId="122EB14F">
            <w:pPr>
              <w:adjustRightInd w:val="0"/>
              <w:snapToGrid w:val="0"/>
              <w:spacing w:line="276" w:lineRule="auto"/>
              <w:jc w:val="center"/>
              <w:rPr>
                <w:rFonts w:hint="default" w:ascii="Times New Roman" w:hAnsi="Times New Roman" w:eastAsia="仿宋_GB2312" w:cs="Times New Roman"/>
                <w:color w:val="FF0000"/>
                <w:sz w:val="32"/>
                <w:szCs w:val="32"/>
                <w:lang w:val="en-US" w:eastAsia="zh-CN"/>
              </w:rPr>
            </w:pPr>
            <w:r>
              <w:rPr>
                <w:rFonts w:hint="default" w:ascii="Times New Roman" w:hAnsi="Times New Roman" w:eastAsia="仿宋_GB2312" w:cs="Times New Roman"/>
                <w:color w:val="auto"/>
                <w:sz w:val="32"/>
                <w:szCs w:val="32"/>
                <w:lang w:val="en-US" w:eastAsia="zh-CN"/>
              </w:rPr>
              <w:t>（20分）</w:t>
            </w:r>
          </w:p>
        </w:tc>
        <w:tc>
          <w:tcPr>
            <w:tcW w:w="7863" w:type="dxa"/>
            <w:tcMar>
              <w:top w:w="0" w:type="dxa"/>
              <w:left w:w="0" w:type="dxa"/>
              <w:bottom w:w="0" w:type="dxa"/>
              <w:right w:w="0" w:type="dxa"/>
            </w:tcMar>
            <w:vAlign w:val="center"/>
          </w:tcPr>
          <w:p w14:paraId="015E7E9A">
            <w:pPr>
              <w:widowControl/>
              <w:numPr>
                <w:ilvl w:val="0"/>
                <w:numId w:val="0"/>
              </w:numPr>
              <w:adjustRightInd w:val="0"/>
              <w:snapToGrid w:val="0"/>
              <w:spacing w:line="276" w:lineRule="auto"/>
              <w:jc w:val="left"/>
              <w:rPr>
                <w:rFonts w:hint="default" w:ascii="Times New Roman" w:hAnsi="Times New Roman" w:eastAsia="仿宋_GB2312" w:cs="Times New Roman"/>
                <w:color w:val="FF0000"/>
                <w:sz w:val="32"/>
                <w:szCs w:val="32"/>
                <w:lang w:val="en-US" w:eastAsia="zh-CN"/>
              </w:rPr>
            </w:pPr>
            <w:r>
              <w:rPr>
                <w:rFonts w:hint="eastAsia" w:ascii="仿宋_GB2312" w:hAnsi="仿宋_GB2312" w:eastAsia="仿宋_GB2312" w:cs="仿宋_GB2312"/>
                <w:sz w:val="32"/>
                <w:szCs w:val="32"/>
                <w:highlight w:val="none"/>
                <w:lang w:val="en-US" w:eastAsia="zh-CN"/>
              </w:rPr>
              <w:t>项目负责人具备注册土木工程师（岩土）执业资格及高级职称得10分，</w:t>
            </w:r>
            <w:r>
              <w:rPr>
                <w:rFonts w:hint="eastAsia" w:ascii="仿宋_GB2312" w:hAnsi="仿宋_GB2312" w:eastAsia="仿宋_GB2312" w:cs="仿宋_GB2312"/>
                <w:sz w:val="32"/>
                <w:szCs w:val="32"/>
                <w:lang w:val="en-US" w:eastAsia="zh-CN"/>
              </w:rPr>
              <w:t>没有不得分；除项目负责人外，其余人员每多1名中级及以上（工程类）得2分，此项最高得分10分（以上人员均需提供聘用合同、半年内社保证明、证书等文件复印件）。</w:t>
            </w:r>
          </w:p>
        </w:tc>
      </w:tr>
    </w:tbl>
    <w:p w14:paraId="7B799E19">
      <w:pPr>
        <w:keepNext w:val="0"/>
        <w:keepLines w:val="0"/>
        <w:pageBreakBefore w:val="0"/>
        <w:widowControl w:val="0"/>
        <w:kinsoku/>
        <w:wordWrap/>
        <w:overflowPunct/>
        <w:topLinePunct w:val="0"/>
        <w:autoSpaceDE/>
        <w:autoSpaceDN/>
        <w:bidi w:val="0"/>
        <w:adjustRightInd/>
        <w:snapToGrid/>
        <w:spacing w:line="580" w:lineRule="exact"/>
        <w:ind w:firstLine="643" w:firstLineChars="200"/>
        <w:textAlignment w:val="auto"/>
        <w:rPr>
          <w:rFonts w:hint="default" w:ascii="Times New Roman" w:hAnsi="Times New Roman" w:eastAsia="仿宋_GB2312" w:cs="Times New Roman"/>
          <w:b/>
          <w:bCs/>
          <w:sz w:val="32"/>
          <w:szCs w:val="32"/>
          <w:lang w:val="zh-CN" w:eastAsia="zh-CN"/>
        </w:rPr>
      </w:pPr>
      <w:r>
        <w:rPr>
          <w:rFonts w:hint="default" w:ascii="Times New Roman" w:hAnsi="Times New Roman" w:eastAsia="仿宋_GB2312" w:cs="Times New Roman"/>
          <w:b/>
          <w:bCs/>
          <w:sz w:val="32"/>
          <w:szCs w:val="32"/>
          <w:lang w:val="zh-CN" w:eastAsia="zh-CN"/>
        </w:rPr>
        <w:t>（</w:t>
      </w:r>
      <w:r>
        <w:rPr>
          <w:rFonts w:hint="default" w:ascii="Times New Roman" w:hAnsi="Times New Roman" w:eastAsia="仿宋_GB2312" w:cs="Times New Roman"/>
          <w:b/>
          <w:bCs/>
          <w:sz w:val="32"/>
          <w:szCs w:val="32"/>
          <w:lang w:val="en-US" w:eastAsia="zh-CN"/>
        </w:rPr>
        <w:t>三</w:t>
      </w:r>
      <w:r>
        <w:rPr>
          <w:rFonts w:hint="default" w:ascii="Times New Roman" w:hAnsi="Times New Roman" w:eastAsia="仿宋_GB2312" w:cs="Times New Roman"/>
          <w:b/>
          <w:bCs/>
          <w:sz w:val="32"/>
          <w:szCs w:val="32"/>
          <w:lang w:val="zh-CN" w:eastAsia="zh-CN"/>
        </w:rPr>
        <w:t>）推荐</w:t>
      </w:r>
      <w:r>
        <w:rPr>
          <w:rFonts w:hint="default" w:ascii="Times New Roman" w:hAnsi="Times New Roman" w:eastAsia="仿宋_GB2312" w:cs="Times New Roman"/>
          <w:b/>
          <w:bCs/>
          <w:sz w:val="32"/>
          <w:szCs w:val="32"/>
          <w:lang w:val="en-US" w:eastAsia="zh-CN"/>
        </w:rPr>
        <w:t>中标</w:t>
      </w:r>
      <w:r>
        <w:rPr>
          <w:rFonts w:hint="default" w:ascii="Times New Roman" w:hAnsi="Times New Roman" w:eastAsia="仿宋_GB2312" w:cs="Times New Roman"/>
          <w:b/>
          <w:bCs/>
          <w:sz w:val="32"/>
          <w:szCs w:val="32"/>
          <w:lang w:val="zh-CN" w:eastAsia="zh-CN"/>
        </w:rPr>
        <w:t>候选人</w:t>
      </w:r>
    </w:p>
    <w:p w14:paraId="1D30660A">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highlight w:val="none"/>
          <w:lang w:val="en-US" w:eastAsia="zh-CN"/>
        </w:rPr>
      </w:pPr>
      <w:r>
        <w:rPr>
          <w:rFonts w:hint="eastAsia" w:ascii="仿宋_GB2312" w:hAnsi="仿宋_GB2312" w:eastAsia="仿宋_GB2312" w:cs="仿宋_GB2312"/>
          <w:sz w:val="32"/>
          <w:szCs w:val="32"/>
          <w:lang w:eastAsia="zh-CN"/>
        </w:rPr>
        <w:t>比选</w:t>
      </w:r>
      <w:r>
        <w:rPr>
          <w:rFonts w:hint="eastAsia" w:ascii="仿宋_GB2312" w:hAnsi="仿宋_GB2312" w:eastAsia="仿宋_GB2312" w:cs="仿宋_GB2312"/>
          <w:sz w:val="32"/>
          <w:szCs w:val="32"/>
        </w:rPr>
        <w:t>采用综合评分法，按照得分由高到低确定候选人</w:t>
      </w:r>
      <w:r>
        <w:rPr>
          <w:rFonts w:hint="eastAsia" w:ascii="仿宋" w:hAnsi="仿宋" w:eastAsia="仿宋" w:cs="仿宋"/>
          <w:sz w:val="32"/>
          <w:szCs w:val="32"/>
          <w:highlight w:val="none"/>
          <w:lang w:val="en-US" w:eastAsia="zh-CN"/>
        </w:rPr>
        <w:t>。</w:t>
      </w:r>
    </w:p>
    <w:p w14:paraId="5BB8F7FA">
      <w:pPr>
        <w:pStyle w:val="14"/>
        <w:spacing w:before="100" w:after="100"/>
        <w:ind w:left="0" w:leftChars="0" w:firstLine="0" w:firstLineChars="0"/>
        <w:rPr>
          <w:rFonts w:hint="default" w:ascii="Times New Roman" w:hAnsi="Times New Roman" w:eastAsia="仿宋" w:cs="Times New Roman"/>
          <w:sz w:val="32"/>
          <w:szCs w:val="32"/>
          <w:highlight w:val="none"/>
          <w:lang w:val="en-US" w:eastAsia="zh-CN"/>
        </w:rPr>
      </w:pPr>
    </w:p>
    <w:p w14:paraId="1E42A8D6">
      <w:pPr>
        <w:pStyle w:val="14"/>
        <w:spacing w:before="100" w:after="100"/>
        <w:ind w:left="0" w:leftChars="0" w:firstLine="0" w:firstLineChars="0"/>
        <w:rPr>
          <w:rFonts w:hint="default" w:ascii="Times New Roman" w:hAnsi="Times New Roman" w:eastAsia="仿宋" w:cs="Times New Roman"/>
          <w:sz w:val="32"/>
          <w:szCs w:val="32"/>
          <w:highlight w:val="none"/>
          <w:lang w:val="en-US" w:eastAsia="zh-CN"/>
        </w:rPr>
      </w:pPr>
    </w:p>
    <w:p w14:paraId="1E04356D">
      <w:pPr>
        <w:pStyle w:val="14"/>
        <w:spacing w:before="100" w:after="100"/>
        <w:ind w:left="0" w:leftChars="0" w:firstLine="0" w:firstLineChars="0"/>
        <w:rPr>
          <w:rFonts w:hint="default" w:ascii="Times New Roman" w:hAnsi="Times New Roman" w:eastAsia="仿宋_GB2312" w:cs="Times New Roman"/>
          <w:sz w:val="32"/>
          <w:szCs w:val="32"/>
          <w:lang w:eastAsia="zh-CN"/>
        </w:rPr>
      </w:pPr>
      <w:r>
        <w:rPr>
          <w:rFonts w:hint="default" w:ascii="Times New Roman" w:hAnsi="Times New Roman" w:eastAsia="仿宋" w:cs="Times New Roman"/>
          <w:sz w:val="32"/>
          <w:szCs w:val="32"/>
          <w:highlight w:val="none"/>
          <w:lang w:val="en-US" w:eastAsia="zh-CN"/>
        </w:rPr>
        <w:t>附件3：</w:t>
      </w:r>
    </w:p>
    <w:p w14:paraId="031C240D">
      <w:pPr>
        <w:jc w:val="center"/>
        <w:rPr>
          <w:rFonts w:hint="default" w:ascii="Times New Roman" w:hAnsi="Times New Roman" w:eastAsia="方正小标宋简体" w:cs="Times New Roman"/>
          <w:sz w:val="44"/>
          <w:szCs w:val="44"/>
        </w:rPr>
      </w:pPr>
      <w:r>
        <w:rPr>
          <w:rFonts w:hint="default" w:ascii="Times New Roman" w:hAnsi="Times New Roman" w:eastAsia="方正小标宋简体" w:cs="Times New Roman"/>
          <w:sz w:val="44"/>
          <w:szCs w:val="44"/>
        </w:rPr>
        <w:t>廉洁</w:t>
      </w:r>
      <w:r>
        <w:rPr>
          <w:rFonts w:hint="default" w:ascii="Times New Roman" w:hAnsi="Times New Roman" w:eastAsia="方正小标宋简体" w:cs="Times New Roman"/>
          <w:sz w:val="44"/>
          <w:szCs w:val="44"/>
          <w:lang w:val="en-US" w:eastAsia="zh-CN"/>
        </w:rPr>
        <w:t>自</w:t>
      </w:r>
      <w:r>
        <w:rPr>
          <w:rFonts w:hint="default" w:ascii="Times New Roman" w:hAnsi="Times New Roman" w:eastAsia="方正小标宋简体" w:cs="Times New Roman"/>
          <w:sz w:val="44"/>
          <w:szCs w:val="44"/>
        </w:rPr>
        <w:t>律承诺书</w:t>
      </w:r>
    </w:p>
    <w:p w14:paraId="720E2947">
      <w:pPr>
        <w:keepNext w:val="0"/>
        <w:keepLines w:val="0"/>
        <w:pageBreakBefore w:val="0"/>
        <w:kinsoku/>
        <w:wordWrap/>
        <w:overflowPunct/>
        <w:topLinePunct w:val="0"/>
        <w:autoSpaceDE/>
        <w:autoSpaceDN/>
        <w:bidi w:val="0"/>
        <w:spacing w:line="560" w:lineRule="exact"/>
        <w:rPr>
          <w:rFonts w:hint="default" w:ascii="Times New Roman" w:hAnsi="Times New Roman" w:eastAsia="仿宋_GB2312" w:cs="Times New Roman"/>
          <w:color w:val="auto"/>
          <w:sz w:val="32"/>
          <w:szCs w:val="32"/>
        </w:rPr>
      </w:pPr>
    </w:p>
    <w:p w14:paraId="3A3AE6DB">
      <w:pPr>
        <w:keepNext w:val="0"/>
        <w:keepLines w:val="0"/>
        <w:pageBreakBefore w:val="0"/>
        <w:kinsoku/>
        <w:wordWrap/>
        <w:overflowPunct/>
        <w:topLinePunct w:val="0"/>
        <w:autoSpaceDE/>
        <w:autoSpaceDN/>
        <w:bidi w:val="0"/>
        <w:spacing w:line="560" w:lineRule="exact"/>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致:</w:t>
      </w:r>
      <w:r>
        <w:rPr>
          <w:rFonts w:hint="default" w:ascii="Times New Roman" w:hAnsi="Times New Roman" w:eastAsia="仿宋_GB2312" w:cs="Times New Roman"/>
          <w:color w:val="auto"/>
          <w:sz w:val="32"/>
          <w:szCs w:val="32"/>
          <w:lang w:val="en-US" w:eastAsia="zh-CN"/>
        </w:rPr>
        <w:t xml:space="preserve">       </w:t>
      </w:r>
      <w:r>
        <w:rPr>
          <w:rFonts w:hint="default" w:ascii="Times New Roman" w:hAnsi="Times New Roman" w:eastAsia="仿宋_GB2312" w:cs="Times New Roman"/>
          <w:color w:val="auto"/>
          <w:sz w:val="32"/>
          <w:szCs w:val="32"/>
        </w:rPr>
        <w:t>公司</w:t>
      </w:r>
    </w:p>
    <w:p w14:paraId="44A6502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为维护公平竞争的市场环境，确保经济活动的廉洁性</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合法性和透明度，防止任何形式的不正当交易及腐败行为，</w:t>
      </w:r>
      <w:r>
        <w:rPr>
          <w:rFonts w:hint="default" w:ascii="Times New Roman" w:hAnsi="Times New Roman" w:eastAsia="仿宋_GB2312" w:cs="Times New Roman"/>
          <w:color w:val="auto"/>
          <w:sz w:val="32"/>
          <w:szCs w:val="32"/>
          <w:lang w:val="en-US" w:eastAsia="zh-CN"/>
        </w:rPr>
        <w:t>我单位作为投标人，郑重</w:t>
      </w:r>
      <w:r>
        <w:rPr>
          <w:rFonts w:hint="default" w:ascii="Times New Roman" w:hAnsi="Times New Roman" w:eastAsia="仿宋_GB2312" w:cs="Times New Roman"/>
          <w:color w:val="auto"/>
          <w:sz w:val="32"/>
          <w:szCs w:val="32"/>
        </w:rPr>
        <w:t>承诺</w:t>
      </w:r>
      <w:r>
        <w:rPr>
          <w:rFonts w:hint="default" w:ascii="Times New Roman" w:hAnsi="Times New Roman" w:eastAsia="仿宋_GB2312" w:cs="Times New Roman"/>
          <w:color w:val="auto"/>
          <w:sz w:val="32"/>
          <w:szCs w:val="32"/>
          <w:lang w:val="en-US" w:eastAsia="zh-CN"/>
        </w:rPr>
        <w:t>如下</w:t>
      </w:r>
      <w:r>
        <w:rPr>
          <w:rFonts w:hint="default" w:ascii="Times New Roman" w:hAnsi="Times New Roman" w:eastAsia="仿宋_GB2312" w:cs="Times New Roman"/>
          <w:color w:val="auto"/>
          <w:sz w:val="32"/>
          <w:szCs w:val="32"/>
        </w:rPr>
        <w:t>:</w:t>
      </w:r>
    </w:p>
    <w:p w14:paraId="1C40E07B">
      <w:pPr>
        <w:pStyle w:val="19"/>
        <w:keepNext w:val="0"/>
        <w:keepLines w:val="0"/>
        <w:pageBreakBefore w:val="0"/>
        <w:widowControl/>
        <w:numPr>
          <w:ilvl w:val="0"/>
          <w:numId w:val="0"/>
        </w:numPr>
        <w:kinsoku/>
        <w:wordWrap/>
        <w:overflowPunct/>
        <w:topLinePunct w:val="0"/>
        <w:autoSpaceDE/>
        <w:autoSpaceDN/>
        <w:bidi w:val="0"/>
        <w:adjustRightInd w:val="0"/>
        <w:snapToGrid w:val="0"/>
        <w:spacing w:after="0" w:afterLines="0" w:line="560" w:lineRule="exact"/>
        <w:ind w:firstLine="640" w:firstLineChars="200"/>
        <w:jc w:val="both"/>
        <w:rPr>
          <w:rFonts w:hint="default" w:ascii="Times New Roman" w:hAnsi="Times New Roman" w:eastAsia="仿宋_GB2312" w:cs="Times New Roman"/>
          <w:color w:val="auto"/>
          <w:sz w:val="32"/>
          <w:szCs w:val="32"/>
          <w:lang w:eastAsia="zh-CN"/>
        </w:rPr>
      </w:pPr>
      <w:r>
        <w:rPr>
          <w:rFonts w:hint="default" w:ascii="Times New Roman" w:hAnsi="Times New Roman" w:eastAsia="仿宋_GB2312" w:cs="Times New Roman"/>
          <w:color w:val="auto"/>
          <w:sz w:val="32"/>
          <w:szCs w:val="32"/>
          <w:lang w:val="en-US" w:eastAsia="zh-CN"/>
        </w:rPr>
        <w:t>1.</w:t>
      </w:r>
      <w:r>
        <w:rPr>
          <w:rFonts w:hint="default" w:ascii="Times New Roman" w:hAnsi="Times New Roman" w:eastAsia="仿宋_GB2312" w:cs="Times New Roman"/>
          <w:color w:val="auto"/>
          <w:sz w:val="32"/>
          <w:szCs w:val="32"/>
        </w:rPr>
        <w:t>严格遵守国家及地方关于招投标、市场竞争的相关法律法规，不使用不正当手段妨碍、排挤相关投标单位或串通投标</w:t>
      </w:r>
      <w:r>
        <w:rPr>
          <w:rFonts w:hint="default" w:ascii="Times New Roman" w:hAnsi="Times New Roman" w:eastAsia="仿宋_GB2312" w:cs="Times New Roman"/>
          <w:color w:val="auto"/>
          <w:sz w:val="32"/>
          <w:szCs w:val="32"/>
          <w:lang w:eastAsia="zh-CN"/>
        </w:rPr>
        <w:t>。</w:t>
      </w:r>
    </w:p>
    <w:p w14:paraId="4A0B19A8">
      <w:pPr>
        <w:keepNext w:val="0"/>
        <w:keepLines w:val="0"/>
        <w:pageBreakBefore w:val="0"/>
        <w:kinsoku/>
        <w:wordWrap/>
        <w:overflowPunct/>
        <w:topLinePunct w:val="0"/>
        <w:autoSpaceDE/>
        <w:autoSpaceDN/>
        <w:bidi w:val="0"/>
        <w:spacing w:line="560" w:lineRule="exact"/>
        <w:ind w:firstLine="640" w:firstLineChars="200"/>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2.不以任何形式(包括但不限于现金、礼品、有价证券回扣、佣金、提供旅游、娱乐活动等)向招标人员、评标专家或其他</w:t>
      </w:r>
      <w:r>
        <w:rPr>
          <w:rFonts w:hint="default" w:ascii="Times New Roman" w:hAnsi="Times New Roman" w:eastAsia="仿宋_GB2312" w:cs="Times New Roman"/>
          <w:color w:val="auto"/>
          <w:sz w:val="32"/>
          <w:szCs w:val="32"/>
          <w:lang w:val="en-US" w:eastAsia="zh-CN"/>
        </w:rPr>
        <w:t>利害关系方</w:t>
      </w:r>
      <w:r>
        <w:rPr>
          <w:rFonts w:hint="default" w:ascii="Times New Roman" w:hAnsi="Times New Roman" w:eastAsia="仿宋_GB2312" w:cs="Times New Roman"/>
          <w:color w:val="auto"/>
          <w:sz w:val="32"/>
          <w:szCs w:val="32"/>
        </w:rPr>
        <w:t>进行贿赂或给予不正当利益。</w:t>
      </w:r>
    </w:p>
    <w:p w14:paraId="5CF881C8">
      <w:pPr>
        <w:keepNext w:val="0"/>
        <w:keepLines w:val="0"/>
        <w:pageBreakBefore w:val="0"/>
        <w:kinsoku/>
        <w:wordWrap/>
        <w:overflowPunct/>
        <w:topLinePunct w:val="0"/>
        <w:autoSpaceDE/>
        <w:autoSpaceDN/>
        <w:bidi w:val="0"/>
        <w:spacing w:line="560" w:lineRule="exact"/>
        <w:ind w:firstLine="640" w:firstLineChars="200"/>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3.不进行任何可能影响招标公平、公正的活动或尝试干预评标过程。</w:t>
      </w:r>
    </w:p>
    <w:p w14:paraId="1C8F0B0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如违反上述承诺，我单位愿意接受包括但不限于取消投标资格、中标无效、列入不良行为记录名单等，给招标单位造成损失的，依法承担赔偿责任。</w:t>
      </w:r>
    </w:p>
    <w:p w14:paraId="215A9E99">
      <w:pPr>
        <w:keepNext w:val="0"/>
        <w:keepLines w:val="0"/>
        <w:pageBreakBefore w:val="0"/>
        <w:kinsoku/>
        <w:wordWrap/>
        <w:overflowPunct/>
        <w:topLinePunct w:val="0"/>
        <w:autoSpaceDE/>
        <w:autoSpaceDN/>
        <w:bidi w:val="0"/>
        <w:spacing w:line="560" w:lineRule="exact"/>
        <w:ind w:firstLine="640" w:firstLineChars="200"/>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特此承诺。</w:t>
      </w:r>
    </w:p>
    <w:p w14:paraId="162AA95B">
      <w:pPr>
        <w:ind w:firstLine="6400" w:firstLineChars="2000"/>
        <w:rPr>
          <w:rFonts w:hint="default" w:ascii="Times New Roman" w:hAnsi="Times New Roman" w:eastAsia="仿宋_GB2312" w:cs="Times New Roman"/>
          <w:sz w:val="32"/>
          <w:szCs w:val="32"/>
        </w:rPr>
      </w:pPr>
    </w:p>
    <w:p w14:paraId="578E140C">
      <w:pPr>
        <w:ind w:firstLine="4160" w:firstLineChars="13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单位名称(盖章)</w:t>
      </w:r>
    </w:p>
    <w:p w14:paraId="0824EFAA">
      <w:pPr>
        <w:ind w:firstLine="4160" w:firstLineChars="1300"/>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rPr>
        <w:t>日期:</w:t>
      </w:r>
    </w:p>
    <w:sectPr>
      <w:footerReference r:id="rId3" w:type="default"/>
      <w:pgSz w:w="11906" w:h="16838"/>
      <w:pgMar w:top="1440" w:right="1800" w:bottom="1440" w:left="1800" w:header="851" w:footer="992" w:gutter="0"/>
      <w:pgNumType w:fmt="numberInDash"/>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embedRegular r:id="rId1" w:fontKey="{EC3DDF19-21E8-4C56-B3A3-BE73F222F50C}"/>
  </w:font>
  <w:font w:name="仿宋_GB2312">
    <w:panose1 w:val="02010609030101010101"/>
    <w:charset w:val="86"/>
    <w:family w:val="auto"/>
    <w:pitch w:val="default"/>
    <w:sig w:usb0="00000001" w:usb1="080E0000" w:usb2="00000000" w:usb3="00000000" w:csb0="00040000" w:csb1="00000000"/>
    <w:embedRegular r:id="rId2" w:fontKey="{BDF0F74A-776B-4995-A981-A81D32361651}"/>
  </w:font>
  <w:font w:name="方正小标宋简体">
    <w:panose1 w:val="02010601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embedRegular r:id="rId3" w:fontKey="{17C3FEDA-51FF-44B5-89BE-63538CC861A8}"/>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35AD80">
    <w:pPr>
      <w:pStyle w:val="10"/>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28D4031A">
                          <w:pPr>
                            <w:pStyle w:val="10"/>
                            <w:rPr>
                              <w:rFonts w:hint="eastAsia" w:eastAsia="宋体"/>
                              <w:lang w:eastAsia="zh-CN"/>
                            </w:rPr>
                          </w:pPr>
                          <w:r>
                            <w:rPr>
                              <w:rFonts w:hint="eastAsia"/>
                              <w:sz w:val="24"/>
                              <w:szCs w:val="24"/>
                              <w:lang w:eastAsia="zh-CN"/>
                            </w:rPr>
                            <w:fldChar w:fldCharType="begin"/>
                          </w:r>
                          <w:r>
                            <w:rPr>
                              <w:rFonts w:hint="eastAsia"/>
                              <w:sz w:val="24"/>
                              <w:szCs w:val="24"/>
                              <w:lang w:eastAsia="zh-CN"/>
                            </w:rPr>
                            <w:instrText xml:space="preserve"> PAGE  \* MERGEFORMAT </w:instrText>
                          </w:r>
                          <w:r>
                            <w:rPr>
                              <w:rFonts w:hint="eastAsia"/>
                              <w:sz w:val="24"/>
                              <w:szCs w:val="24"/>
                              <w:lang w:eastAsia="zh-CN"/>
                            </w:rPr>
                            <w:fldChar w:fldCharType="separate"/>
                          </w:r>
                          <w:r>
                            <w:rPr>
                              <w:rFonts w:hint="eastAsia"/>
                              <w:sz w:val="24"/>
                              <w:szCs w:val="24"/>
                              <w:lang w:eastAsia="zh-CN"/>
                            </w:rPr>
                            <w:t>1</w:t>
                          </w:r>
                          <w:r>
                            <w:rPr>
                              <w:rFonts w:hint="eastAsia"/>
                              <w:sz w:val="24"/>
                              <w:szCs w:val="24"/>
                              <w:lang w:eastAsia="zh-CN"/>
                            </w:rPr>
                            <w:fldChar w:fldCharType="end"/>
                          </w:r>
                        </w:p>
                      </w:txbxContent>
                    </wps:txbx>
                    <wps:bodyPr vert="horz" wrap="none" lIns="0" tIns="0" rIns="0" bIns="0" anchor="t" anchorCtr="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">
              <v:fill on="f" focussize="0,0"/>
              <v:stroke on="f"/>
              <v:imagedata o:title=""/>
              <o:lock v:ext="edit" aspectratio="f"/>
              <v:textbox inset="0mm,0mm,0mm,0mm" style="mso-fit-shape-to-text:t;">
                <w:txbxContent>
                  <w:p w14:paraId="28D4031A">
                    <w:pPr>
                      <w:pStyle w:val="10"/>
                      <w:rPr>
                        <w:rFonts w:hint="eastAsia" w:eastAsia="宋体"/>
                        <w:lang w:eastAsia="zh-CN"/>
                      </w:rPr>
                    </w:pPr>
                    <w:r>
                      <w:rPr>
                        <w:rFonts w:hint="eastAsia"/>
                        <w:sz w:val="24"/>
                        <w:szCs w:val="24"/>
                        <w:lang w:eastAsia="zh-CN"/>
                      </w:rPr>
                      <w:fldChar w:fldCharType="begin"/>
                    </w:r>
                    <w:r>
                      <w:rPr>
                        <w:rFonts w:hint="eastAsia"/>
                        <w:sz w:val="24"/>
                        <w:szCs w:val="24"/>
                        <w:lang w:eastAsia="zh-CN"/>
                      </w:rPr>
                      <w:instrText xml:space="preserve"> PAGE  \* MERGEFORMAT </w:instrText>
                    </w:r>
                    <w:r>
                      <w:rPr>
                        <w:rFonts w:hint="eastAsia"/>
                        <w:sz w:val="24"/>
                        <w:szCs w:val="24"/>
                        <w:lang w:eastAsia="zh-CN"/>
                      </w:rPr>
                      <w:fldChar w:fldCharType="separate"/>
                    </w:r>
                    <w:r>
                      <w:rPr>
                        <w:rFonts w:hint="eastAsia"/>
                        <w:sz w:val="24"/>
                        <w:szCs w:val="24"/>
                        <w:lang w:eastAsia="zh-CN"/>
                      </w:rPr>
                      <w:t>1</w:t>
                    </w:r>
                    <w:r>
                      <w:rPr>
                        <w:rFonts w:hint="eastAsia"/>
                        <w:sz w:val="24"/>
                        <w:szCs w:val="24"/>
                        <w:lang w:eastAsia="zh-CN"/>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3"/>
    <w:multiLevelType w:val="multilevel"/>
    <w:tmpl w:val="00000003"/>
    <w:lvl w:ilvl="0" w:tentative="0">
      <w:start w:val="1"/>
      <w:numFmt w:val="chineseCounting"/>
      <w:pStyle w:val="3"/>
      <w:suff w:val="nothing"/>
      <w:lvlText w:val="第%1章 "/>
      <w:lvlJc w:val="left"/>
      <w:pPr>
        <w:ind w:left="432" w:hanging="432"/>
      </w:pPr>
      <w:rPr>
        <w:rFonts w:hint="eastAsia"/>
      </w:rPr>
    </w:lvl>
    <w:lvl w:ilvl="1" w:tentative="0">
      <w:start w:val="1"/>
      <w:numFmt w:val="decimal"/>
      <w:isLgl/>
      <w:lvlText w:val="%1.%2."/>
      <w:lvlJc w:val="left"/>
      <w:pPr>
        <w:ind w:left="575" w:hanging="575"/>
      </w:pPr>
      <w:rPr>
        <w:rFonts w:hint="eastAsia"/>
      </w:rPr>
    </w:lvl>
    <w:lvl w:ilvl="2" w:tentative="0">
      <w:start w:val="1"/>
      <w:numFmt w:val="decimal"/>
      <w:isLgl/>
      <w:lvlText w:val="%1.%2.%3."/>
      <w:lvlJc w:val="left"/>
      <w:pPr>
        <w:ind w:left="720" w:hanging="720"/>
      </w:pPr>
      <w:rPr>
        <w:rFonts w:hint="eastAsia"/>
      </w:rPr>
    </w:lvl>
    <w:lvl w:ilvl="3" w:tentative="0">
      <w:start w:val="1"/>
      <w:numFmt w:val="decimal"/>
      <w:isLgl/>
      <w:lvlText w:val="%1.%2.%3.%4."/>
      <w:lvlJc w:val="left"/>
      <w:pPr>
        <w:ind w:left="864" w:hanging="864"/>
      </w:pPr>
      <w:rPr>
        <w:rFonts w:hint="eastAsia"/>
      </w:rPr>
    </w:lvl>
    <w:lvl w:ilvl="4" w:tentative="0">
      <w:start w:val="1"/>
      <w:numFmt w:val="decimal"/>
      <w:isLgl/>
      <w:lvlText w:val="%1.%2.%3.%4.%5."/>
      <w:lvlJc w:val="left"/>
      <w:pPr>
        <w:ind w:left="1008" w:hanging="1008"/>
      </w:pPr>
      <w:rPr>
        <w:rFonts w:hint="eastAsia"/>
      </w:rPr>
    </w:lvl>
    <w:lvl w:ilvl="5" w:tentative="0">
      <w:start w:val="1"/>
      <w:numFmt w:val="decimal"/>
      <w:isLgl/>
      <w:lvlText w:val="%1.%2.%3.%4.%5.%6."/>
      <w:lvlJc w:val="left"/>
      <w:pPr>
        <w:ind w:left="1151" w:hanging="1151"/>
      </w:pPr>
      <w:rPr>
        <w:rFonts w:hint="eastAsia"/>
      </w:rPr>
    </w:lvl>
    <w:lvl w:ilvl="6" w:tentative="0">
      <w:start w:val="1"/>
      <w:numFmt w:val="decimal"/>
      <w:isLgl/>
      <w:lvlText w:val="%1.%2.%3.%4.%5.%6.%7."/>
      <w:lvlJc w:val="left"/>
      <w:pPr>
        <w:ind w:left="1296" w:hanging="1296"/>
      </w:pPr>
      <w:rPr>
        <w:rFonts w:hint="eastAsia"/>
      </w:rPr>
    </w:lvl>
    <w:lvl w:ilvl="7" w:tentative="0">
      <w:start w:val="1"/>
      <w:numFmt w:val="decimal"/>
      <w:isLgl/>
      <w:lvlText w:val="%1.%2.%3.%4.%5.%6.%7.%8."/>
      <w:lvlJc w:val="left"/>
      <w:pPr>
        <w:ind w:left="1440" w:hanging="1440"/>
      </w:pPr>
      <w:rPr>
        <w:rFonts w:hint="eastAsia"/>
      </w:rPr>
    </w:lvl>
    <w:lvl w:ilvl="8" w:tentative="0">
      <w:start w:val="1"/>
      <w:numFmt w:val="decimal"/>
      <w:isLgl/>
      <w:lvlText w:val="%1.%2.%3.%4.%5.%6.%7.%8.%9."/>
      <w:lvlJc w:val="left"/>
      <w:pPr>
        <w:ind w:left="1583" w:hanging="1583"/>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TrueTypeFonts/>
  <w:saveSubsetFonts/>
  <w:bordersDoNotSurroundHeader w:val="0"/>
  <w:bordersDoNotSurroundFooter w:val="0"/>
  <w:documentProtection w:enforcement="0"/>
  <w:defaultTabStop w:val="420"/>
  <w:hyphenationZone w:val="360"/>
  <w:drawingGridVerticalSpacing w:val="156"/>
  <w:displayHorizontalDrawingGridEvery w:val="1"/>
  <w:displayVerticalDrawingGridEvery w:val="1"/>
  <w:noPunctuationKerning w:val="1"/>
  <w:characterSpacingControl w:val="compressPunctuation"/>
  <w:doNotValidateAgainstSchema/>
  <w:doNotDemarcateInvalidXml/>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zNjZGI5NzQwYWYyZTI1Nzk4NTU4YmYxNzcwZWJlZTkifQ=="/>
    <w:docVar w:name="KSO_WPS_MARK_KEY" w:val="e10be619-05dc-41cf-93cb-fd70e9d7f3f3"/>
  </w:docVars>
  <w:rsids>
    <w:rsidRoot w:val="00172A27"/>
    <w:rsid w:val="023F2212"/>
    <w:rsid w:val="02867E41"/>
    <w:rsid w:val="033A76CC"/>
    <w:rsid w:val="03B12072"/>
    <w:rsid w:val="04760788"/>
    <w:rsid w:val="0477594A"/>
    <w:rsid w:val="04E35BC2"/>
    <w:rsid w:val="0548762F"/>
    <w:rsid w:val="05682B8A"/>
    <w:rsid w:val="06290379"/>
    <w:rsid w:val="065A0AB0"/>
    <w:rsid w:val="07FF36BC"/>
    <w:rsid w:val="08550306"/>
    <w:rsid w:val="098175B4"/>
    <w:rsid w:val="0A2C0437"/>
    <w:rsid w:val="0BD54F58"/>
    <w:rsid w:val="0BFD4952"/>
    <w:rsid w:val="0DCD1AE2"/>
    <w:rsid w:val="0E811A30"/>
    <w:rsid w:val="0F1958F7"/>
    <w:rsid w:val="0F3A26DF"/>
    <w:rsid w:val="10090303"/>
    <w:rsid w:val="100B7DD6"/>
    <w:rsid w:val="10686910"/>
    <w:rsid w:val="10AB623B"/>
    <w:rsid w:val="117E16C8"/>
    <w:rsid w:val="11A76A70"/>
    <w:rsid w:val="12277102"/>
    <w:rsid w:val="137B32C6"/>
    <w:rsid w:val="149B41B6"/>
    <w:rsid w:val="14D14285"/>
    <w:rsid w:val="16262886"/>
    <w:rsid w:val="174E59CB"/>
    <w:rsid w:val="178A3202"/>
    <w:rsid w:val="17A51BCE"/>
    <w:rsid w:val="17D11706"/>
    <w:rsid w:val="17DD18B6"/>
    <w:rsid w:val="19433558"/>
    <w:rsid w:val="196818D5"/>
    <w:rsid w:val="1B8E6686"/>
    <w:rsid w:val="1BF56DE4"/>
    <w:rsid w:val="1CEB654E"/>
    <w:rsid w:val="1D6372A4"/>
    <w:rsid w:val="1DC22489"/>
    <w:rsid w:val="1E6710C6"/>
    <w:rsid w:val="1EF671B0"/>
    <w:rsid w:val="208512E0"/>
    <w:rsid w:val="21766B36"/>
    <w:rsid w:val="22286977"/>
    <w:rsid w:val="22900BB2"/>
    <w:rsid w:val="22943A5C"/>
    <w:rsid w:val="22C3311B"/>
    <w:rsid w:val="234B5C3C"/>
    <w:rsid w:val="24066BDB"/>
    <w:rsid w:val="24523587"/>
    <w:rsid w:val="24CA0C52"/>
    <w:rsid w:val="24CE79F9"/>
    <w:rsid w:val="250B339C"/>
    <w:rsid w:val="25E22D30"/>
    <w:rsid w:val="269E30FB"/>
    <w:rsid w:val="271D0B72"/>
    <w:rsid w:val="273F192D"/>
    <w:rsid w:val="278C73F8"/>
    <w:rsid w:val="27BF38CF"/>
    <w:rsid w:val="283F1AED"/>
    <w:rsid w:val="28B62672"/>
    <w:rsid w:val="28DE5F07"/>
    <w:rsid w:val="2939535D"/>
    <w:rsid w:val="29E1276B"/>
    <w:rsid w:val="29E90B31"/>
    <w:rsid w:val="2AA25464"/>
    <w:rsid w:val="2BAC5CC2"/>
    <w:rsid w:val="2BC62952"/>
    <w:rsid w:val="2E262354"/>
    <w:rsid w:val="2EC3522E"/>
    <w:rsid w:val="309143F1"/>
    <w:rsid w:val="31686191"/>
    <w:rsid w:val="31B5579D"/>
    <w:rsid w:val="3210780C"/>
    <w:rsid w:val="331104CE"/>
    <w:rsid w:val="333548FA"/>
    <w:rsid w:val="35044A71"/>
    <w:rsid w:val="350902DA"/>
    <w:rsid w:val="35431A3E"/>
    <w:rsid w:val="35496928"/>
    <w:rsid w:val="35A57E97"/>
    <w:rsid w:val="35CE3CA0"/>
    <w:rsid w:val="361707D4"/>
    <w:rsid w:val="366D7797"/>
    <w:rsid w:val="36EC5FD8"/>
    <w:rsid w:val="371D5052"/>
    <w:rsid w:val="379361F1"/>
    <w:rsid w:val="38275FA1"/>
    <w:rsid w:val="38E01351"/>
    <w:rsid w:val="396F1F22"/>
    <w:rsid w:val="399565E0"/>
    <w:rsid w:val="39B06AF4"/>
    <w:rsid w:val="3B2C6AD0"/>
    <w:rsid w:val="3B930354"/>
    <w:rsid w:val="3BFE6232"/>
    <w:rsid w:val="3C552351"/>
    <w:rsid w:val="3C5F6C89"/>
    <w:rsid w:val="3D1D6AF8"/>
    <w:rsid w:val="3D8D760A"/>
    <w:rsid w:val="3DD443B6"/>
    <w:rsid w:val="3E5548D7"/>
    <w:rsid w:val="3FEB7AF5"/>
    <w:rsid w:val="40185875"/>
    <w:rsid w:val="4019654B"/>
    <w:rsid w:val="4070746C"/>
    <w:rsid w:val="41036525"/>
    <w:rsid w:val="438D7307"/>
    <w:rsid w:val="44BB1AF2"/>
    <w:rsid w:val="454A3AE3"/>
    <w:rsid w:val="4590529B"/>
    <w:rsid w:val="459C07B6"/>
    <w:rsid w:val="461026EE"/>
    <w:rsid w:val="464042EF"/>
    <w:rsid w:val="47370CD6"/>
    <w:rsid w:val="47835CCA"/>
    <w:rsid w:val="47B42BE7"/>
    <w:rsid w:val="47FB2A68"/>
    <w:rsid w:val="485C3F8A"/>
    <w:rsid w:val="488E647E"/>
    <w:rsid w:val="494B5293"/>
    <w:rsid w:val="4A126E2F"/>
    <w:rsid w:val="4A3D2009"/>
    <w:rsid w:val="4A9B4F45"/>
    <w:rsid w:val="4B070E6F"/>
    <w:rsid w:val="4B2116C3"/>
    <w:rsid w:val="4C693962"/>
    <w:rsid w:val="4C730593"/>
    <w:rsid w:val="4C7D362F"/>
    <w:rsid w:val="4D654BD1"/>
    <w:rsid w:val="4E2D4BE1"/>
    <w:rsid w:val="4E994025"/>
    <w:rsid w:val="4ED60DD5"/>
    <w:rsid w:val="4F334112"/>
    <w:rsid w:val="4FA72771"/>
    <w:rsid w:val="4FDC1809"/>
    <w:rsid w:val="50010670"/>
    <w:rsid w:val="50727DEE"/>
    <w:rsid w:val="515058A2"/>
    <w:rsid w:val="517F4A6D"/>
    <w:rsid w:val="5181340F"/>
    <w:rsid w:val="51E6783E"/>
    <w:rsid w:val="52121678"/>
    <w:rsid w:val="53334A48"/>
    <w:rsid w:val="55CC1986"/>
    <w:rsid w:val="55DD23B6"/>
    <w:rsid w:val="56206DD9"/>
    <w:rsid w:val="56AB0D99"/>
    <w:rsid w:val="57A73FA4"/>
    <w:rsid w:val="58584F50"/>
    <w:rsid w:val="589C7FC2"/>
    <w:rsid w:val="58B54151"/>
    <w:rsid w:val="59060509"/>
    <w:rsid w:val="596040BD"/>
    <w:rsid w:val="59893E86"/>
    <w:rsid w:val="59973856"/>
    <w:rsid w:val="59D14FBA"/>
    <w:rsid w:val="5B0E5935"/>
    <w:rsid w:val="5C1F025F"/>
    <w:rsid w:val="5C6A2245"/>
    <w:rsid w:val="5CBD35D4"/>
    <w:rsid w:val="5CD1784E"/>
    <w:rsid w:val="5CF873CF"/>
    <w:rsid w:val="5EB61C2A"/>
    <w:rsid w:val="5F661FA4"/>
    <w:rsid w:val="5F803FDA"/>
    <w:rsid w:val="5FBF2771"/>
    <w:rsid w:val="5FEB66AA"/>
    <w:rsid w:val="6031230F"/>
    <w:rsid w:val="61215F42"/>
    <w:rsid w:val="61404326"/>
    <w:rsid w:val="61783F6D"/>
    <w:rsid w:val="629E645C"/>
    <w:rsid w:val="62E43CA4"/>
    <w:rsid w:val="62F72DBF"/>
    <w:rsid w:val="63B41DA5"/>
    <w:rsid w:val="64555C7B"/>
    <w:rsid w:val="65541E66"/>
    <w:rsid w:val="655F1E1A"/>
    <w:rsid w:val="66374F8A"/>
    <w:rsid w:val="667C62B9"/>
    <w:rsid w:val="67A27F96"/>
    <w:rsid w:val="68F608D3"/>
    <w:rsid w:val="695E6C9F"/>
    <w:rsid w:val="69B455F6"/>
    <w:rsid w:val="69E70363"/>
    <w:rsid w:val="69F37435"/>
    <w:rsid w:val="6A574FAB"/>
    <w:rsid w:val="6BA97B57"/>
    <w:rsid w:val="6C4E30C5"/>
    <w:rsid w:val="6CAC04F4"/>
    <w:rsid w:val="6CB0280D"/>
    <w:rsid w:val="6CB16FD6"/>
    <w:rsid w:val="6CE657EE"/>
    <w:rsid w:val="6D266F73"/>
    <w:rsid w:val="6EA91EB1"/>
    <w:rsid w:val="6EF966EE"/>
    <w:rsid w:val="6F4B4A6F"/>
    <w:rsid w:val="6F683873"/>
    <w:rsid w:val="6F963F3C"/>
    <w:rsid w:val="70722F5B"/>
    <w:rsid w:val="70D44079"/>
    <w:rsid w:val="726A7902"/>
    <w:rsid w:val="73610D05"/>
    <w:rsid w:val="74FE31E1"/>
    <w:rsid w:val="766F3739"/>
    <w:rsid w:val="768D3F82"/>
    <w:rsid w:val="77E57406"/>
    <w:rsid w:val="78084DD5"/>
    <w:rsid w:val="79071AD5"/>
    <w:rsid w:val="7936673D"/>
    <w:rsid w:val="79532E9E"/>
    <w:rsid w:val="79DA0070"/>
    <w:rsid w:val="79E97840"/>
    <w:rsid w:val="7BA07EF1"/>
    <w:rsid w:val="7C222C76"/>
    <w:rsid w:val="7CC61BD9"/>
    <w:rsid w:val="7CE56503"/>
    <w:rsid w:val="7CE7227B"/>
    <w:rsid w:val="7D3E5C13"/>
    <w:rsid w:val="7D4C4D97"/>
    <w:rsid w:val="7D6C2CD5"/>
    <w:rsid w:val="7D9A72EE"/>
    <w:rsid w:val="7E080A6A"/>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iPriority="99"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qFormat="1" w:unhideWhenUsed="0" w:uiPriority="0" w:semiHidden="0" w:name="Body Text"/>
    <w:lsdException w:qFormat="1" w:unhideWhenUsed="0"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lang w:val="en-US" w:eastAsia="zh-CN" w:bidi="ar-SA"/>
    </w:rPr>
  </w:style>
  <w:style w:type="paragraph" w:styleId="3">
    <w:name w:val="heading 1"/>
    <w:basedOn w:val="1"/>
    <w:next w:val="1"/>
    <w:qFormat/>
    <w:uiPriority w:val="0"/>
    <w:pPr>
      <w:keepNext/>
      <w:keepLines/>
      <w:numPr>
        <w:ilvl w:val="0"/>
        <w:numId w:val="1"/>
      </w:numPr>
      <w:spacing w:before="100" w:beforeLines="0" w:after="100" w:afterLines="0" w:line="240" w:lineRule="atLeast"/>
      <w:jc w:val="center"/>
      <w:outlineLvl w:val="0"/>
    </w:pPr>
    <w:rPr>
      <w:rFonts w:ascii="Times New Roman" w:hAnsi="Times New Roman"/>
      <w:b/>
      <w:bCs/>
      <w:kern w:val="44"/>
      <w:sz w:val="36"/>
      <w:szCs w:val="44"/>
    </w:rPr>
  </w:style>
  <w:style w:type="paragraph" w:styleId="4">
    <w:name w:val="heading 2"/>
    <w:basedOn w:val="1"/>
    <w:next w:val="1"/>
    <w:qFormat/>
    <w:uiPriority w:val="0"/>
    <w:pPr>
      <w:keepNext/>
      <w:keepLines/>
      <w:spacing w:before="100" w:beforeLines="0" w:beforeAutospacing="0" w:after="100" w:afterLines="0" w:afterAutospacing="0" w:line="240" w:lineRule="auto"/>
      <w:ind w:firstLine="0" w:firstLineChars="0"/>
      <w:outlineLvl w:val="1"/>
    </w:pPr>
    <w:rPr>
      <w:b/>
      <w:sz w:val="32"/>
    </w:rPr>
  </w:style>
  <w:style w:type="character" w:default="1" w:styleId="16">
    <w:name w:val="Default Paragraph Font"/>
    <w:qFormat/>
    <w:uiPriority w:val="0"/>
  </w:style>
  <w:style w:type="table" w:default="1" w:styleId="15">
    <w:name w:val="Normal Table"/>
    <w:semiHidden/>
    <w:qFormat/>
    <w:uiPriority w:val="0"/>
    <w:tblPr>
      <w:tblCellMar>
        <w:top w:w="0" w:type="dxa"/>
        <w:left w:w="108" w:type="dxa"/>
        <w:bottom w:w="0" w:type="dxa"/>
        <w:right w:w="108" w:type="dxa"/>
      </w:tblCellMar>
    </w:tblPr>
  </w:style>
  <w:style w:type="paragraph" w:customStyle="1" w:styleId="2">
    <w:name w:val="__正文"/>
    <w:basedOn w:val="1"/>
    <w:qFormat/>
    <w:uiPriority w:val="0"/>
    <w:pPr>
      <w:spacing w:line="480" w:lineRule="exact"/>
      <w:ind w:firstLine="200"/>
    </w:pPr>
    <w:rPr>
      <w:rFonts w:cs="Times New Roman"/>
      <w:kern w:val="0"/>
    </w:rPr>
  </w:style>
  <w:style w:type="paragraph" w:styleId="5">
    <w:name w:val="Body Text"/>
    <w:basedOn w:val="1"/>
    <w:next w:val="6"/>
    <w:qFormat/>
    <w:uiPriority w:val="0"/>
    <w:pPr>
      <w:jc w:val="center"/>
    </w:pPr>
    <w:rPr>
      <w:rFonts w:ascii="Times New Roman" w:hAnsi="Times New Roman" w:eastAsia="黑体" w:cs="Times New Roman"/>
      <w:sz w:val="36"/>
      <w:szCs w:val="20"/>
    </w:rPr>
  </w:style>
  <w:style w:type="paragraph" w:styleId="6">
    <w:name w:val="Body Text 2"/>
    <w:basedOn w:val="1"/>
    <w:qFormat/>
    <w:uiPriority w:val="0"/>
    <w:pPr>
      <w:spacing w:line="480" w:lineRule="auto"/>
    </w:pPr>
    <w:rPr>
      <w:rFonts w:ascii="Times New Roman" w:hAnsi="Times New Roman" w:eastAsia="宋体" w:cs="Times New Roman"/>
    </w:rPr>
  </w:style>
  <w:style w:type="paragraph" w:styleId="7">
    <w:name w:val="Body Text Indent"/>
    <w:basedOn w:val="1"/>
    <w:next w:val="8"/>
    <w:qFormat/>
    <w:uiPriority w:val="99"/>
    <w:pPr>
      <w:spacing w:after="120"/>
      <w:ind w:left="420" w:leftChars="200"/>
    </w:pPr>
  </w:style>
  <w:style w:type="paragraph" w:styleId="8">
    <w:name w:val="envelope return"/>
    <w:unhideWhenUsed/>
    <w:qFormat/>
    <w:uiPriority w:val="99"/>
    <w:pPr>
      <w:widowControl w:val="0"/>
      <w:snapToGrid w:val="0"/>
      <w:jc w:val="both"/>
    </w:pPr>
    <w:rPr>
      <w:rFonts w:ascii="Arial" w:hAnsi="Arial" w:eastAsia="宋体" w:cs="Times New Roman"/>
      <w:kern w:val="2"/>
      <w:sz w:val="21"/>
      <w:szCs w:val="22"/>
      <w:lang w:val="en-US" w:eastAsia="zh-CN" w:bidi="ar-SA"/>
    </w:rPr>
  </w:style>
  <w:style w:type="paragraph" w:styleId="9">
    <w:name w:val="Plain Text"/>
    <w:basedOn w:val="1"/>
    <w:qFormat/>
    <w:uiPriority w:val="0"/>
    <w:rPr>
      <w:sz w:val="24"/>
    </w:rPr>
  </w:style>
  <w:style w:type="paragraph" w:styleId="10">
    <w:name w:val="footer"/>
    <w:basedOn w:val="1"/>
    <w:qFormat/>
    <w:uiPriority w:val="0"/>
    <w:pPr>
      <w:tabs>
        <w:tab w:val="center" w:pos="4153"/>
        <w:tab w:val="right" w:pos="8306"/>
      </w:tabs>
      <w:snapToGrid w:val="0"/>
      <w:jc w:val="left"/>
    </w:pPr>
    <w:rPr>
      <w:sz w:val="18"/>
    </w:rPr>
  </w:style>
  <w:style w:type="paragraph" w:styleId="11">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2">
    <w:name w:val="Normal (Web)"/>
    <w:basedOn w:val="1"/>
    <w:qFormat/>
    <w:uiPriority w:val="0"/>
    <w:pPr>
      <w:spacing w:before="100" w:beforeLines="0" w:beforeAutospacing="1" w:after="100" w:afterLines="0" w:afterAutospacing="1"/>
      <w:ind w:left="0" w:right="0"/>
      <w:jc w:val="left"/>
    </w:pPr>
    <w:rPr>
      <w:kern w:val="0"/>
      <w:sz w:val="24"/>
      <w:lang w:val="en-US" w:eastAsia="zh-CN" w:bidi="ar"/>
    </w:rPr>
  </w:style>
  <w:style w:type="paragraph" w:styleId="13">
    <w:name w:val="Body Text First Indent"/>
    <w:basedOn w:val="5"/>
    <w:next w:val="14"/>
    <w:qFormat/>
    <w:uiPriority w:val="0"/>
    <w:pPr>
      <w:ind w:firstLine="420" w:firstLineChars="100"/>
    </w:pPr>
    <w:rPr>
      <w:rFonts w:ascii="宋体" w:hAnsi="Times New Roman" w:eastAsia="宋体" w:cs="Times New Roman"/>
      <w:kern w:val="0"/>
      <w:sz w:val="34"/>
      <w:szCs w:val="20"/>
    </w:rPr>
  </w:style>
  <w:style w:type="paragraph" w:styleId="14">
    <w:name w:val="Body Text First Indent 2"/>
    <w:basedOn w:val="7"/>
    <w:qFormat/>
    <w:uiPriority w:val="0"/>
    <w:pPr>
      <w:adjustRightInd w:val="0"/>
      <w:snapToGrid w:val="0"/>
      <w:spacing w:beforeAutospacing="1" w:afterAutospacing="1" w:line="360" w:lineRule="auto"/>
      <w:ind w:left="480" w:firstLine="562" w:firstLineChars="200"/>
      <w:jc w:val="left"/>
    </w:pPr>
    <w:rPr>
      <w:rFonts w:hint="eastAsia" w:ascii="仿宋_GB2312" w:hAnsi="仿宋_GB2312" w:cs="Times New Roman"/>
      <w:szCs w:val="30"/>
      <w:lang w:eastAsia="en-US"/>
    </w:rPr>
  </w:style>
  <w:style w:type="character" w:styleId="17">
    <w:name w:val="Hyperlink"/>
    <w:basedOn w:val="16"/>
    <w:qFormat/>
    <w:uiPriority w:val="0"/>
    <w:rPr>
      <w:color w:val="0000FF"/>
      <w:u w:val="single"/>
    </w:rPr>
  </w:style>
  <w:style w:type="paragraph" w:customStyle="1" w:styleId="18">
    <w:name w:val="List Paragraph1"/>
    <w:basedOn w:val="1"/>
    <w:next w:val="1"/>
    <w:qFormat/>
    <w:uiPriority w:val="0"/>
    <w:pPr>
      <w:widowControl w:val="0"/>
      <w:autoSpaceDE/>
      <w:autoSpaceDN/>
      <w:spacing w:before="0" w:beforeLines="0" w:after="0" w:afterLines="0" w:line="240" w:lineRule="auto"/>
      <w:ind w:left="420" w:firstLine="3748"/>
      <w:jc w:val="both"/>
    </w:pPr>
  </w:style>
  <w:style w:type="paragraph" w:customStyle="1" w:styleId="19">
    <w:name w:val="Body Text First Indent"/>
    <w:basedOn w:val="5"/>
    <w:qFormat/>
    <w:uiPriority w:val="0"/>
    <w:pPr>
      <w:adjustRightInd w:val="0"/>
      <w:spacing w:line="312" w:lineRule="atLeast"/>
      <w:ind w:firstLine="420"/>
      <w:textAlignment w:val="baseline"/>
    </w:pPr>
    <w:rPr>
      <w:kern w:val="0"/>
      <w:szCs w:val="2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Pages>
  <Words>1083</Words>
  <Characters>1135</Characters>
  <Lines>0</Lines>
  <Paragraphs>0</Paragraphs>
  <TotalTime>6</TotalTime>
  <ScaleCrop>false</ScaleCrop>
  <LinksUpToDate>false</LinksUpToDate>
  <CharactersWithSpaces>1163</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Administrator</dc:creator>
  <cp:lastModifiedBy>萌萌噠</cp:lastModifiedBy>
  <cp:lastPrinted>2024-12-13T02:16:00Z</cp:lastPrinted>
  <dcterms:modified xsi:type="dcterms:W3CDTF">2026-09-21T01:38:06Z</dcterms:modified>
  <dc:title>关于许禹供热长输管线项目勘察设计招标代理机构询比采购的邀请函</dc:title>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60899D59F8BC4F138AFD5BB465C4F7AF_13</vt:lpwstr>
  </property>
  <property fmtid="{D5CDD505-2E9C-101B-9397-08002B2CF9AE}" pid="4" name="commondata">
    <vt:lpwstr>eyJoZGlkIjoiN2I0NDMxMDhhNzIxZjIxM2FiMjFkZWExNzY4MTY3OTUifQ==</vt:lpwstr>
  </property>
  <property fmtid="{D5CDD505-2E9C-101B-9397-08002B2CF9AE}" pid="5" name="KSOTemplateDocerSaveRecord">
    <vt:lpwstr>eyJoZGlkIjoiOTIyY2E1Y2MxN2RlNmU3MWE5ZTI4MTRkNjNlNGE0MTMiLCJ1c2VySWQiOiIyMjI0MzU2NzYifQ==</vt:lpwstr>
  </property>
</Properties>
</file>