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4B6BB1">
      <w:pPr>
        <w:keepNext w:val="0"/>
        <w:keepLines w:val="0"/>
        <w:pageBreakBefore w:val="0"/>
        <w:widowControl w:val="0"/>
        <w:kinsoku/>
        <w:wordWrap/>
        <w:overflowPunct/>
        <w:topLinePunct w:val="0"/>
        <w:autoSpaceDE/>
        <w:autoSpaceDN/>
        <w:bidi w:val="0"/>
        <w:adjustRightInd w:val="0"/>
        <w:snapToGrid w:val="0"/>
        <w:spacing w:line="520" w:lineRule="exac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附件1</w:t>
      </w:r>
      <w:bookmarkStart w:id="0" w:name="_GoBack"/>
      <w:bookmarkEnd w:id="0"/>
    </w:p>
    <w:p w14:paraId="0AC3BF79">
      <w:pPr>
        <w:shd w:val="clear" w:color="auto" w:fill="auto"/>
        <w:spacing w:line="560" w:lineRule="exact"/>
        <w:jc w:val="center"/>
        <w:rPr>
          <w:rFonts w:hint="default" w:ascii="Times New Roman" w:hAnsi="Times New Roman" w:eastAsia="方正小标宋简体" w:cs="Times New Roman"/>
          <w:b w:val="0"/>
          <w:bCs/>
          <w:sz w:val="44"/>
          <w:szCs w:val="44"/>
        </w:rPr>
      </w:pPr>
      <w:r>
        <w:rPr>
          <w:rFonts w:hint="default" w:ascii="Times New Roman" w:hAnsi="Times New Roman" w:eastAsia="方正小标宋简体" w:cs="Times New Roman"/>
          <w:b w:val="0"/>
          <w:bCs/>
          <w:sz w:val="44"/>
          <w:szCs w:val="44"/>
        </w:rPr>
        <w:t>报价单</w:t>
      </w:r>
    </w:p>
    <w:p w14:paraId="3C86F119">
      <w:pPr>
        <w:shd w:val="clear" w:color="auto" w:fill="auto"/>
        <w:spacing w:line="560" w:lineRule="exact"/>
        <w:jc w:val="center"/>
        <w:rPr>
          <w:rFonts w:ascii="Times New Roman" w:hAnsi="Times New Roman" w:eastAsia="仿宋_GB2312" w:cs="Times New Roman"/>
          <w:b/>
          <w:sz w:val="32"/>
          <w:szCs w:val="32"/>
        </w:rPr>
      </w:pPr>
    </w:p>
    <w:tbl>
      <w:tblPr>
        <w:tblStyle w:val="14"/>
        <w:tblW w:w="8683" w:type="dxa"/>
        <w:tblInd w:w="0" w:type="dxa"/>
        <w:tblLayout w:type="fixed"/>
        <w:tblCellMar>
          <w:top w:w="15" w:type="dxa"/>
          <w:left w:w="15" w:type="dxa"/>
          <w:bottom w:w="15" w:type="dxa"/>
          <w:right w:w="15" w:type="dxa"/>
        </w:tblCellMar>
      </w:tblPr>
      <w:tblGrid>
        <w:gridCol w:w="3134"/>
        <w:gridCol w:w="5549"/>
      </w:tblGrid>
      <w:tr w14:paraId="4711F552">
        <w:tblPrEx>
          <w:tblCellMar>
            <w:top w:w="15" w:type="dxa"/>
            <w:left w:w="15" w:type="dxa"/>
            <w:bottom w:w="15" w:type="dxa"/>
            <w:right w:w="15" w:type="dxa"/>
          </w:tblCellMar>
        </w:tblPrEx>
        <w:trPr>
          <w:trHeight w:val="1474"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4AE3F823">
            <w:pPr>
              <w:widowControl/>
              <w:shd w:val="clear" w:color="auto" w:fill="auto"/>
              <w:spacing w:line="560" w:lineRule="exact"/>
              <w:jc w:val="center"/>
              <w:textAlignment w:val="center"/>
              <w:rPr>
                <w:rFonts w:ascii="Times New Roman" w:hAnsi="Times New Roman" w:eastAsia="仿宋_GB2312" w:cs="Times New Roman"/>
                <w:b/>
                <w:color w:val="000000"/>
                <w:sz w:val="32"/>
                <w:szCs w:val="32"/>
              </w:rPr>
            </w:pPr>
            <w:r>
              <w:rPr>
                <w:rFonts w:hint="default" w:ascii="Times New Roman" w:hAnsi="Times New Roman" w:eastAsia="仿宋_GB2312" w:cs="Times New Roman"/>
                <w:b/>
                <w:color w:val="000000"/>
                <w:kern w:val="0"/>
                <w:sz w:val="32"/>
                <w:szCs w:val="32"/>
                <w:lang w:bidi="ar"/>
              </w:rPr>
              <w:t>项目名称</w:t>
            </w:r>
          </w:p>
        </w:tc>
        <w:tc>
          <w:tcPr>
            <w:tcW w:w="5549" w:type="dxa"/>
            <w:tcBorders>
              <w:top w:val="single" w:color="000000" w:sz="4" w:space="0"/>
              <w:left w:val="single" w:color="000000" w:sz="4" w:space="0"/>
              <w:bottom w:val="single" w:color="000000" w:sz="4" w:space="0"/>
              <w:right w:val="single" w:color="000000" w:sz="4" w:space="0"/>
            </w:tcBorders>
            <w:vAlign w:val="center"/>
          </w:tcPr>
          <w:p w14:paraId="55E744B7">
            <w:pPr>
              <w:keepNext w:val="0"/>
              <w:keepLines w:val="0"/>
              <w:pageBreakBefore w:val="0"/>
              <w:widowControl/>
              <w:shd w:val="clear" w:color="auto" w:fill="auto"/>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_GB2312" w:cs="Times New Roman"/>
                <w:b/>
                <w:color w:val="000000"/>
                <w:sz w:val="24"/>
                <w:szCs w:val="24"/>
                <w:lang w:val="en-US" w:eastAsia="zh-CN"/>
              </w:rPr>
            </w:pPr>
            <w:r>
              <w:rPr>
                <w:rFonts w:hint="default" w:ascii="Times New Roman" w:hAnsi="Times New Roman" w:eastAsia="仿宋_GB2312" w:cs="Times New Roman"/>
                <w:b w:val="0"/>
                <w:bCs/>
                <w:color w:val="000000"/>
                <w:sz w:val="32"/>
                <w:szCs w:val="32"/>
                <w:lang w:val="en-US" w:eastAsia="zh-CN"/>
              </w:rPr>
              <w:t>许昌市中心城区华佗路与灞陵路排涝能力提升工程可行性研究报告编制单位比选</w:t>
            </w:r>
          </w:p>
        </w:tc>
      </w:tr>
      <w:tr w14:paraId="50159FB2">
        <w:tblPrEx>
          <w:tblCellMar>
            <w:top w:w="15" w:type="dxa"/>
            <w:left w:w="15" w:type="dxa"/>
            <w:bottom w:w="15" w:type="dxa"/>
            <w:right w:w="15" w:type="dxa"/>
          </w:tblCellMar>
        </w:tblPrEx>
        <w:trPr>
          <w:trHeight w:val="1474" w:hRule="exact"/>
        </w:trPr>
        <w:tc>
          <w:tcPr>
            <w:tcW w:w="3134" w:type="dxa"/>
            <w:tcBorders>
              <w:top w:val="single" w:color="000000" w:sz="4" w:space="0"/>
              <w:left w:val="single" w:color="000000" w:sz="4" w:space="0"/>
              <w:right w:val="single" w:color="000000" w:sz="4" w:space="0"/>
            </w:tcBorders>
            <w:vAlign w:val="center"/>
          </w:tcPr>
          <w:p w14:paraId="19998E54">
            <w:pPr>
              <w:widowControl/>
              <w:shd w:val="clear" w:color="auto" w:fill="auto"/>
              <w:spacing w:line="560" w:lineRule="exact"/>
              <w:jc w:val="center"/>
              <w:textAlignment w:val="center"/>
              <w:rPr>
                <w:rFonts w:ascii="Times New Roman" w:hAnsi="Times New Roman" w:eastAsia="仿宋_GB2312" w:cs="Times New Roman"/>
                <w:b/>
                <w:color w:val="000000"/>
                <w:sz w:val="32"/>
                <w:szCs w:val="32"/>
              </w:rPr>
            </w:pPr>
            <w:r>
              <w:rPr>
                <w:rFonts w:hint="default" w:ascii="Times New Roman" w:hAnsi="Times New Roman" w:eastAsia="仿宋_GB2312" w:cs="Times New Roman"/>
                <w:b/>
                <w:color w:val="000000"/>
                <w:kern w:val="0"/>
                <w:sz w:val="32"/>
                <w:szCs w:val="32"/>
                <w:lang w:bidi="ar"/>
              </w:rPr>
              <w:t>申请人</w:t>
            </w:r>
          </w:p>
        </w:tc>
        <w:tc>
          <w:tcPr>
            <w:tcW w:w="5549" w:type="dxa"/>
            <w:tcBorders>
              <w:top w:val="single" w:color="000000" w:sz="4" w:space="0"/>
              <w:left w:val="single" w:color="000000" w:sz="4" w:space="0"/>
              <w:bottom w:val="single" w:color="000000" w:sz="4" w:space="0"/>
              <w:right w:val="single" w:color="000000" w:sz="4" w:space="0"/>
            </w:tcBorders>
            <w:vAlign w:val="center"/>
          </w:tcPr>
          <w:p w14:paraId="2575F16A">
            <w:pPr>
              <w:widowControl/>
              <w:shd w:val="clear" w:color="auto" w:fill="auto"/>
              <w:spacing w:line="560" w:lineRule="exact"/>
              <w:jc w:val="center"/>
              <w:textAlignment w:val="center"/>
              <w:rPr>
                <w:rFonts w:ascii="Times New Roman" w:hAnsi="Times New Roman" w:eastAsia="仿宋_GB2312" w:cs="Times New Roman"/>
                <w:b/>
                <w:color w:val="000000"/>
                <w:sz w:val="32"/>
                <w:szCs w:val="32"/>
              </w:rPr>
            </w:pPr>
          </w:p>
        </w:tc>
      </w:tr>
      <w:tr w14:paraId="5B0191B0">
        <w:tblPrEx>
          <w:tblCellMar>
            <w:top w:w="15" w:type="dxa"/>
            <w:left w:w="15" w:type="dxa"/>
            <w:bottom w:w="15" w:type="dxa"/>
            <w:right w:w="15" w:type="dxa"/>
          </w:tblCellMar>
        </w:tblPrEx>
        <w:trPr>
          <w:trHeight w:val="1474"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7B319849">
            <w:pPr>
              <w:widowControl/>
              <w:shd w:val="clear" w:color="auto" w:fill="auto"/>
              <w:spacing w:line="560" w:lineRule="exact"/>
              <w:jc w:val="center"/>
              <w:textAlignment w:val="center"/>
              <w:rPr>
                <w:rFonts w:ascii="Times New Roman" w:hAnsi="Times New Roman" w:eastAsia="仿宋_GB2312" w:cs="Times New Roman"/>
                <w:b/>
                <w:color w:val="000000"/>
                <w:kern w:val="0"/>
                <w:sz w:val="32"/>
                <w:szCs w:val="32"/>
                <w:lang w:bidi="ar"/>
              </w:rPr>
            </w:pPr>
            <w:r>
              <w:rPr>
                <w:rFonts w:hint="default" w:ascii="Times New Roman" w:hAnsi="Times New Roman" w:eastAsia="仿宋_GB2312" w:cs="Times New Roman"/>
                <w:b/>
                <w:color w:val="000000"/>
                <w:kern w:val="0"/>
                <w:sz w:val="32"/>
                <w:szCs w:val="32"/>
                <w:lang w:bidi="ar"/>
              </w:rPr>
              <w:t>申请人资质</w:t>
            </w:r>
          </w:p>
        </w:tc>
        <w:tc>
          <w:tcPr>
            <w:tcW w:w="5549" w:type="dxa"/>
            <w:tcBorders>
              <w:top w:val="single" w:color="000000" w:sz="4" w:space="0"/>
              <w:left w:val="single" w:color="000000" w:sz="4" w:space="0"/>
              <w:bottom w:val="single" w:color="000000" w:sz="4" w:space="0"/>
              <w:right w:val="single" w:color="000000" w:sz="4" w:space="0"/>
            </w:tcBorders>
            <w:vAlign w:val="center"/>
          </w:tcPr>
          <w:p w14:paraId="7DEEA926">
            <w:pPr>
              <w:widowControl/>
              <w:shd w:val="clear" w:color="auto" w:fill="auto"/>
              <w:spacing w:line="560" w:lineRule="exact"/>
              <w:jc w:val="center"/>
              <w:textAlignment w:val="center"/>
              <w:rPr>
                <w:rFonts w:ascii="Times New Roman" w:hAnsi="Times New Roman" w:eastAsia="仿宋_GB2312" w:cs="Times New Roman"/>
                <w:b/>
                <w:color w:val="000000"/>
                <w:sz w:val="32"/>
                <w:szCs w:val="32"/>
              </w:rPr>
            </w:pPr>
          </w:p>
        </w:tc>
      </w:tr>
      <w:tr w14:paraId="25AA2DE7">
        <w:tblPrEx>
          <w:tblCellMar>
            <w:top w:w="15" w:type="dxa"/>
            <w:left w:w="15" w:type="dxa"/>
            <w:bottom w:w="15" w:type="dxa"/>
            <w:right w:w="15" w:type="dxa"/>
          </w:tblCellMar>
        </w:tblPrEx>
        <w:trPr>
          <w:trHeight w:val="1474"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2D7317C4">
            <w:pPr>
              <w:widowControl/>
              <w:shd w:val="clear" w:color="auto" w:fill="auto"/>
              <w:spacing w:line="560" w:lineRule="exact"/>
              <w:jc w:val="center"/>
              <w:textAlignment w:val="center"/>
              <w:rPr>
                <w:rFonts w:ascii="Times New Roman" w:hAnsi="Times New Roman" w:eastAsia="仿宋_GB2312" w:cs="Times New Roman"/>
                <w:b/>
                <w:color w:val="000000"/>
                <w:kern w:val="0"/>
                <w:sz w:val="32"/>
                <w:szCs w:val="32"/>
                <w:lang w:bidi="ar"/>
              </w:rPr>
            </w:pPr>
            <w:r>
              <w:rPr>
                <w:rFonts w:hint="default" w:ascii="Times New Roman" w:hAnsi="Times New Roman" w:eastAsia="仿宋_GB2312" w:cs="Times New Roman"/>
                <w:b/>
                <w:color w:val="000000"/>
                <w:kern w:val="0"/>
                <w:sz w:val="32"/>
                <w:szCs w:val="32"/>
                <w:lang w:bidi="ar"/>
              </w:rPr>
              <w:t>项目负责人（职务）</w:t>
            </w:r>
          </w:p>
        </w:tc>
        <w:tc>
          <w:tcPr>
            <w:tcW w:w="5549" w:type="dxa"/>
            <w:tcBorders>
              <w:top w:val="single" w:color="000000" w:sz="4" w:space="0"/>
              <w:left w:val="single" w:color="000000" w:sz="4" w:space="0"/>
              <w:bottom w:val="single" w:color="000000" w:sz="4" w:space="0"/>
              <w:right w:val="single" w:color="000000" w:sz="4" w:space="0"/>
            </w:tcBorders>
            <w:vAlign w:val="center"/>
          </w:tcPr>
          <w:p w14:paraId="0FA6C85A">
            <w:pPr>
              <w:widowControl/>
              <w:shd w:val="clear" w:color="auto" w:fill="auto"/>
              <w:spacing w:line="560" w:lineRule="exact"/>
              <w:jc w:val="center"/>
              <w:textAlignment w:val="center"/>
              <w:rPr>
                <w:rFonts w:ascii="Times New Roman" w:hAnsi="Times New Roman" w:eastAsia="仿宋_GB2312" w:cs="Times New Roman"/>
                <w:b/>
                <w:color w:val="000000"/>
                <w:sz w:val="32"/>
                <w:szCs w:val="32"/>
              </w:rPr>
            </w:pPr>
          </w:p>
        </w:tc>
      </w:tr>
      <w:tr w14:paraId="375FA28C">
        <w:tblPrEx>
          <w:tblCellMar>
            <w:top w:w="15" w:type="dxa"/>
            <w:left w:w="15" w:type="dxa"/>
            <w:bottom w:w="15" w:type="dxa"/>
            <w:right w:w="15" w:type="dxa"/>
          </w:tblCellMar>
        </w:tblPrEx>
        <w:trPr>
          <w:trHeight w:val="1474"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06DF3958">
            <w:pPr>
              <w:widowControl/>
              <w:shd w:val="clear" w:color="auto" w:fill="auto"/>
              <w:spacing w:line="560" w:lineRule="exact"/>
              <w:jc w:val="center"/>
              <w:textAlignment w:val="center"/>
              <w:rPr>
                <w:rFonts w:hint="default" w:ascii="Times New Roman" w:hAnsi="Times New Roman" w:eastAsia="仿宋_GB2312" w:cs="Times New Roman"/>
                <w:b/>
                <w:color w:val="000000"/>
                <w:kern w:val="0"/>
                <w:sz w:val="32"/>
                <w:szCs w:val="32"/>
                <w:lang w:val="en-US" w:eastAsia="zh-CN" w:bidi="ar"/>
              </w:rPr>
            </w:pPr>
            <w:r>
              <w:rPr>
                <w:rFonts w:hint="default" w:ascii="Times New Roman" w:hAnsi="Times New Roman" w:eastAsia="仿宋_GB2312" w:cs="Times New Roman"/>
                <w:b/>
                <w:color w:val="000000"/>
                <w:kern w:val="0"/>
                <w:sz w:val="32"/>
                <w:szCs w:val="32"/>
                <w:lang w:val="en-US" w:eastAsia="zh-CN" w:bidi="ar"/>
              </w:rPr>
              <w:t>项目工作内容</w:t>
            </w:r>
          </w:p>
        </w:tc>
        <w:tc>
          <w:tcPr>
            <w:tcW w:w="5549" w:type="dxa"/>
            <w:tcBorders>
              <w:top w:val="single" w:color="000000" w:sz="4" w:space="0"/>
              <w:left w:val="single" w:color="000000" w:sz="4" w:space="0"/>
              <w:bottom w:val="single" w:color="000000" w:sz="4" w:space="0"/>
              <w:right w:val="single" w:color="000000" w:sz="4" w:space="0"/>
            </w:tcBorders>
            <w:vAlign w:val="center"/>
          </w:tcPr>
          <w:p w14:paraId="46A1FF1F">
            <w:pPr>
              <w:widowControl/>
              <w:shd w:val="clear" w:color="auto" w:fill="auto"/>
              <w:spacing w:line="560" w:lineRule="exact"/>
              <w:jc w:val="center"/>
              <w:textAlignment w:val="center"/>
              <w:rPr>
                <w:rFonts w:hint="default" w:ascii="Times New Roman" w:hAnsi="Times New Roman" w:eastAsia="仿宋_GB2312" w:cs="Times New Roman"/>
                <w:b/>
                <w:color w:val="000000"/>
                <w:kern w:val="0"/>
                <w:sz w:val="32"/>
                <w:szCs w:val="32"/>
                <w:lang w:bidi="ar"/>
              </w:rPr>
            </w:pPr>
          </w:p>
        </w:tc>
      </w:tr>
      <w:tr w14:paraId="31D6B9E1">
        <w:tblPrEx>
          <w:tblCellMar>
            <w:top w:w="15" w:type="dxa"/>
            <w:left w:w="15" w:type="dxa"/>
            <w:bottom w:w="15" w:type="dxa"/>
            <w:right w:w="15" w:type="dxa"/>
          </w:tblCellMar>
        </w:tblPrEx>
        <w:trPr>
          <w:trHeight w:val="1474"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675508C9">
            <w:pPr>
              <w:widowControl/>
              <w:shd w:val="clear" w:color="auto" w:fill="auto"/>
              <w:spacing w:line="560" w:lineRule="exact"/>
              <w:jc w:val="center"/>
              <w:textAlignment w:val="center"/>
              <w:rPr>
                <w:rFonts w:ascii="Times New Roman" w:hAnsi="Times New Roman" w:eastAsia="仿宋_GB2312" w:cs="Times New Roman"/>
                <w:b/>
                <w:color w:val="000000"/>
                <w:kern w:val="0"/>
                <w:sz w:val="32"/>
                <w:szCs w:val="32"/>
                <w:lang w:bidi="ar"/>
              </w:rPr>
            </w:pPr>
            <w:r>
              <w:rPr>
                <w:rFonts w:hint="default" w:ascii="Times New Roman" w:hAnsi="Times New Roman" w:eastAsia="仿宋_GB2312" w:cs="Times New Roman"/>
                <w:b/>
                <w:color w:val="000000"/>
                <w:kern w:val="0"/>
                <w:sz w:val="32"/>
                <w:szCs w:val="32"/>
                <w:lang w:bidi="ar"/>
              </w:rPr>
              <w:t>报价</w:t>
            </w:r>
          </w:p>
        </w:tc>
        <w:tc>
          <w:tcPr>
            <w:tcW w:w="5549" w:type="dxa"/>
            <w:tcBorders>
              <w:top w:val="single" w:color="000000" w:sz="4" w:space="0"/>
              <w:left w:val="single" w:color="000000" w:sz="4" w:space="0"/>
              <w:bottom w:val="single" w:color="000000" w:sz="4" w:space="0"/>
              <w:right w:val="single" w:color="000000" w:sz="4" w:space="0"/>
            </w:tcBorders>
            <w:vAlign w:val="center"/>
          </w:tcPr>
          <w:p w14:paraId="43775806">
            <w:pPr>
              <w:widowControl/>
              <w:shd w:val="clear" w:color="auto" w:fill="auto"/>
              <w:spacing w:line="560" w:lineRule="exact"/>
              <w:jc w:val="center"/>
              <w:textAlignment w:val="center"/>
              <w:rPr>
                <w:rFonts w:ascii="Times New Roman" w:hAnsi="Times New Roman" w:eastAsia="仿宋_GB2312" w:cs="Times New Roman"/>
                <w:b/>
                <w:color w:val="000000"/>
                <w:kern w:val="0"/>
                <w:sz w:val="32"/>
                <w:szCs w:val="32"/>
                <w:lang w:val="en-US" w:bidi="ar"/>
              </w:rPr>
            </w:pPr>
            <w:r>
              <w:rPr>
                <w:rFonts w:hint="default" w:ascii="Times New Roman" w:hAnsi="Times New Roman" w:eastAsia="仿宋_GB2312" w:cs="Times New Roman"/>
                <w:sz w:val="32"/>
                <w:szCs w:val="32"/>
                <w:highlight w:val="none"/>
                <w:u w:val="single"/>
                <w:lang w:val="en-US" w:eastAsia="zh-CN"/>
              </w:rPr>
              <w:t xml:space="preserve">       </w:t>
            </w:r>
            <w:r>
              <w:rPr>
                <w:rFonts w:hint="default" w:ascii="Times New Roman" w:hAnsi="Times New Roman" w:eastAsia="仿宋_GB2312" w:cs="Times New Roman"/>
                <w:sz w:val="32"/>
                <w:szCs w:val="32"/>
                <w:highlight w:val="none"/>
                <w:u w:val="none"/>
                <w:lang w:val="en-US" w:eastAsia="zh-CN"/>
              </w:rPr>
              <w:t>万元（含税）</w:t>
            </w:r>
          </w:p>
        </w:tc>
      </w:tr>
    </w:tbl>
    <w:p w14:paraId="6867FF5C">
      <w:pPr>
        <w:shd w:val="clear" w:color="auto" w:fill="auto"/>
        <w:adjustRightInd w:val="0"/>
        <w:spacing w:line="560" w:lineRule="exact"/>
        <w:ind w:firstLine="640" w:firstLineChars="200"/>
        <w:jc w:val="right"/>
        <w:rPr>
          <w:rFonts w:hint="default" w:ascii="Times New Roman" w:hAnsi="Times New Roman" w:eastAsia="仿宋_GB2312" w:cs="Times New Roman"/>
          <w:sz w:val="32"/>
          <w:szCs w:val="32"/>
          <w:highlight w:val="none"/>
          <w:lang w:val="en-US" w:eastAsia="zh-CN"/>
        </w:rPr>
      </w:pPr>
    </w:p>
    <w:p w14:paraId="15CB14B1">
      <w:pPr>
        <w:shd w:val="clear" w:color="auto" w:fill="auto"/>
        <w:adjustRightInd w:val="0"/>
        <w:spacing w:line="560" w:lineRule="exact"/>
        <w:ind w:firstLine="640" w:firstLineChars="200"/>
        <w:jc w:val="right"/>
        <w:rPr>
          <w:rFonts w:hint="default" w:ascii="Times New Roman" w:hAnsi="Times New Roman" w:eastAsia="仿宋_GB2312" w:cs="Times New Roman"/>
          <w:sz w:val="32"/>
          <w:szCs w:val="32"/>
          <w:highlight w:val="none"/>
          <w:lang w:val="en-US" w:eastAsia="zh-CN"/>
        </w:rPr>
      </w:pPr>
    </w:p>
    <w:p w14:paraId="2455A0B4">
      <w:pPr>
        <w:pStyle w:val="3"/>
        <w:ind w:firstLine="5461" w:firstLineChars="17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年    月    日</w:t>
      </w:r>
    </w:p>
    <w:p w14:paraId="1F2E03AC">
      <w:pPr>
        <w:rPr>
          <w:rFonts w:hint="default" w:ascii="Times New Roman" w:hAnsi="Times New Roman" w:eastAsia="仿宋_GB2312" w:cs="Times New Roman"/>
          <w:sz w:val="32"/>
          <w:szCs w:val="32"/>
          <w:highlight w:val="none"/>
          <w:lang w:val="en-US" w:eastAsia="zh-CN"/>
        </w:rPr>
      </w:pPr>
    </w:p>
    <w:p w14:paraId="066586A3">
      <w:pPr>
        <w:rPr>
          <w:rFonts w:hint="default" w:ascii="Times New Roman" w:hAnsi="Times New Roman" w:eastAsia="仿宋_GB2312" w:cs="Times New Roman"/>
          <w:sz w:val="32"/>
          <w:szCs w:val="32"/>
          <w:highlight w:val="none"/>
          <w:lang w:val="en-US" w:eastAsia="zh-CN"/>
        </w:rPr>
      </w:pPr>
    </w:p>
    <w:p w14:paraId="0ACDEA80">
      <w:pPr>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附件2</w:t>
      </w:r>
    </w:p>
    <w:p w14:paraId="6B9D6935">
      <w:pPr>
        <w:pStyle w:val="7"/>
        <w:spacing w:line="240" w:lineRule="auto"/>
        <w:ind w:firstLine="0" w:firstLineChars="0"/>
        <w:contextualSpacing/>
        <w:jc w:val="center"/>
        <w:rPr>
          <w:rFonts w:hint="default" w:ascii="Times New Roman" w:hAnsi="Times New Roman" w:eastAsia="方正小标宋简体" w:cs="Times New Roman"/>
          <w:b w:val="0"/>
          <w:bCs/>
          <w:sz w:val="44"/>
          <w:szCs w:val="44"/>
          <w:lang w:val="zh-CN"/>
        </w:rPr>
      </w:pPr>
      <w:r>
        <w:rPr>
          <w:rFonts w:hint="default" w:ascii="Times New Roman" w:hAnsi="Times New Roman" w:eastAsia="方正小标宋简体" w:cs="Times New Roman"/>
          <w:b w:val="0"/>
          <w:bCs/>
          <w:sz w:val="44"/>
          <w:szCs w:val="44"/>
          <w:lang w:val="zh-CN"/>
        </w:rPr>
        <w:t>评标标准</w:t>
      </w:r>
    </w:p>
    <w:p w14:paraId="188029B0">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zh-CN" w:eastAsia="zh-CN"/>
        </w:rPr>
      </w:pPr>
      <w:r>
        <w:rPr>
          <w:rFonts w:hint="default" w:ascii="Times New Roman" w:hAnsi="Times New Roman" w:eastAsia="仿宋_GB2312" w:cs="Times New Roman"/>
          <w:b/>
          <w:bCs/>
          <w:sz w:val="32"/>
          <w:szCs w:val="32"/>
          <w:lang w:val="zh-CN" w:eastAsia="zh-CN"/>
        </w:rPr>
        <w:t>一、资格审查</w:t>
      </w:r>
    </w:p>
    <w:p w14:paraId="3C73923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FF0000"/>
          <w:sz w:val="32"/>
          <w:szCs w:val="32"/>
          <w:lang w:val="zh-CN" w:eastAsia="zh-CN"/>
        </w:rPr>
      </w:pPr>
      <w:r>
        <w:rPr>
          <w:rFonts w:hint="default" w:ascii="Times New Roman" w:hAnsi="Times New Roman" w:eastAsia="仿宋_GB2312" w:cs="Times New Roman"/>
          <w:sz w:val="32"/>
          <w:szCs w:val="32"/>
          <w:lang w:eastAsia="zh-CN"/>
        </w:rPr>
        <w:t>评审小组对</w:t>
      </w:r>
      <w:r>
        <w:rPr>
          <w:rFonts w:hint="default" w:ascii="Times New Roman" w:hAnsi="Times New Roman" w:eastAsia="仿宋_GB2312" w:cs="Times New Roman"/>
          <w:sz w:val="32"/>
          <w:szCs w:val="32"/>
          <w:lang w:val="en-US" w:eastAsia="zh-CN"/>
        </w:rPr>
        <w:t>申请</w:t>
      </w:r>
      <w:r>
        <w:rPr>
          <w:rFonts w:hint="default" w:ascii="Times New Roman" w:hAnsi="Times New Roman" w:eastAsia="仿宋_GB2312" w:cs="Times New Roman"/>
          <w:sz w:val="32"/>
          <w:szCs w:val="32"/>
          <w:lang w:eastAsia="zh-CN"/>
        </w:rPr>
        <w:t>人资格进行检查。</w:t>
      </w:r>
      <w:r>
        <w:rPr>
          <w:rFonts w:hint="default" w:ascii="Times New Roman" w:hAnsi="Times New Roman" w:eastAsia="仿宋_GB2312" w:cs="Times New Roman"/>
          <w:sz w:val="32"/>
          <w:szCs w:val="32"/>
          <w:lang w:val="zh-CN" w:eastAsia="zh-CN"/>
        </w:rPr>
        <w:t>确定符合资格的</w:t>
      </w:r>
      <w:r>
        <w:rPr>
          <w:rFonts w:hint="default" w:ascii="Times New Roman" w:hAnsi="Times New Roman" w:eastAsia="仿宋_GB2312" w:cs="Times New Roman"/>
          <w:sz w:val="32"/>
          <w:szCs w:val="32"/>
          <w:lang w:val="en-US" w:eastAsia="zh-CN"/>
        </w:rPr>
        <w:t>申请</w:t>
      </w:r>
      <w:r>
        <w:rPr>
          <w:rFonts w:hint="default" w:ascii="Times New Roman" w:hAnsi="Times New Roman" w:eastAsia="仿宋_GB2312" w:cs="Times New Roman"/>
          <w:sz w:val="32"/>
          <w:szCs w:val="32"/>
          <w:lang w:val="zh-CN" w:eastAsia="zh-CN"/>
        </w:rPr>
        <w:t>人不少于3</w:t>
      </w:r>
      <w:r>
        <w:rPr>
          <w:rFonts w:hint="default" w:ascii="Times New Roman" w:hAnsi="Times New Roman" w:eastAsia="仿宋_GB2312" w:cs="Times New Roman"/>
          <w:color w:val="auto"/>
          <w:sz w:val="32"/>
          <w:szCs w:val="32"/>
          <w:lang w:val="zh-CN" w:eastAsia="zh-CN"/>
        </w:rPr>
        <w:t>家后对投标文件进行符合性审查，</w:t>
      </w:r>
      <w:r>
        <w:rPr>
          <w:rFonts w:hint="default" w:ascii="Times New Roman" w:hAnsi="Times New Roman" w:eastAsia="仿宋_GB2312" w:cs="Times New Roman"/>
          <w:color w:val="auto"/>
          <w:sz w:val="32"/>
          <w:szCs w:val="32"/>
          <w:lang w:val="en-US" w:eastAsia="zh-CN"/>
        </w:rPr>
        <w:t>少于三家则本次评标过程无效</w:t>
      </w:r>
      <w:r>
        <w:rPr>
          <w:rFonts w:hint="default" w:ascii="Times New Roman" w:hAnsi="Times New Roman" w:eastAsia="仿宋_GB2312" w:cs="Times New Roman"/>
          <w:color w:val="auto"/>
          <w:sz w:val="32"/>
          <w:szCs w:val="32"/>
          <w:lang w:val="zh-CN" w:eastAsia="zh-CN"/>
        </w:rPr>
        <w:t>。</w:t>
      </w:r>
    </w:p>
    <w:p w14:paraId="676C2B40">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二、评审</w:t>
      </w:r>
    </w:p>
    <w:p w14:paraId="2554D99F">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zh-CN" w:eastAsia="zh-CN"/>
        </w:rPr>
      </w:pPr>
      <w:r>
        <w:rPr>
          <w:rFonts w:hint="default" w:ascii="Times New Roman" w:hAnsi="Times New Roman" w:eastAsia="仿宋_GB2312" w:cs="Times New Roman"/>
          <w:b/>
          <w:bCs/>
          <w:sz w:val="32"/>
          <w:szCs w:val="32"/>
          <w:lang w:val="zh-CN" w:eastAsia="zh-CN"/>
        </w:rPr>
        <w:t>（一）评审方法</w:t>
      </w:r>
    </w:p>
    <w:p w14:paraId="0C108237">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zh-CN" w:eastAsia="zh-CN"/>
        </w:rPr>
      </w:pPr>
      <w:r>
        <w:rPr>
          <w:rFonts w:hint="default" w:ascii="Times New Roman" w:hAnsi="Times New Roman" w:eastAsia="仿宋_GB2312" w:cs="Times New Roman"/>
          <w:b/>
          <w:bCs/>
          <w:sz w:val="32"/>
          <w:szCs w:val="32"/>
          <w:lang w:val="zh-CN" w:eastAsia="zh-CN"/>
        </w:rPr>
        <w:t>本项目采用综合评分法。总分为 100 分。</w:t>
      </w:r>
    </w:p>
    <w:p w14:paraId="1B6C32C2">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zh-CN" w:eastAsia="zh-CN"/>
        </w:rPr>
      </w:pPr>
      <w:r>
        <w:rPr>
          <w:rFonts w:hint="default" w:ascii="Times New Roman" w:hAnsi="Times New Roman" w:eastAsia="仿宋_GB2312" w:cs="Times New Roman"/>
          <w:b/>
          <w:bCs/>
          <w:sz w:val="32"/>
          <w:szCs w:val="32"/>
          <w:lang w:val="zh-CN" w:eastAsia="zh-CN"/>
        </w:rPr>
        <w:t>（二）评分办法</w:t>
      </w:r>
    </w:p>
    <w:tbl>
      <w:tblPr>
        <w:tblStyle w:val="14"/>
        <w:tblW w:w="9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13"/>
        <w:gridCol w:w="6786"/>
      </w:tblGrid>
      <w:tr w14:paraId="760A6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913" w:type="dxa"/>
            <w:vAlign w:val="center"/>
          </w:tcPr>
          <w:p w14:paraId="00AB1D15">
            <w:pPr>
              <w:tabs>
                <w:tab w:val="left" w:pos="1260"/>
              </w:tabs>
              <w:autoSpaceDE w:val="0"/>
              <w:autoSpaceDN w:val="0"/>
              <w:adjustRightInd w:val="0"/>
              <w:snapToGrid w:val="0"/>
              <w:spacing w:line="276" w:lineRule="auto"/>
              <w:jc w:val="center"/>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分值构成</w:t>
            </w:r>
          </w:p>
          <w:p w14:paraId="42D917DF">
            <w:pPr>
              <w:tabs>
                <w:tab w:val="left" w:pos="1260"/>
              </w:tabs>
              <w:autoSpaceDE w:val="0"/>
              <w:autoSpaceDN w:val="0"/>
              <w:adjustRightInd w:val="0"/>
              <w:snapToGrid w:val="0"/>
              <w:spacing w:line="276" w:lineRule="auto"/>
              <w:jc w:val="center"/>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(总分100分)</w:t>
            </w:r>
          </w:p>
        </w:tc>
        <w:tc>
          <w:tcPr>
            <w:tcW w:w="6786" w:type="dxa"/>
            <w:vAlign w:val="center"/>
          </w:tcPr>
          <w:p w14:paraId="43D642DC">
            <w:pPr>
              <w:widowControl/>
              <w:adjustRightInd w:val="0"/>
              <w:snapToGrid w:val="0"/>
              <w:spacing w:line="276" w:lineRule="auto"/>
              <w:jc w:val="left"/>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企业报价：</w:t>
            </w:r>
            <w:r>
              <w:rPr>
                <w:rFonts w:hint="default" w:ascii="Times New Roman" w:hAnsi="Times New Roman" w:eastAsia="仿宋_GB2312" w:cs="Times New Roman"/>
                <w:sz w:val="32"/>
                <w:szCs w:val="32"/>
                <w:lang w:val="en-US" w:eastAsia="zh-CN"/>
              </w:rPr>
              <w:t xml:space="preserve"> 20 </w:t>
            </w:r>
            <w:r>
              <w:rPr>
                <w:rFonts w:hint="default" w:ascii="Times New Roman" w:hAnsi="Times New Roman" w:eastAsia="仿宋_GB2312" w:cs="Times New Roman"/>
                <w:sz w:val="32"/>
                <w:szCs w:val="32"/>
                <w:lang w:val="zh-CN"/>
              </w:rPr>
              <w:t>分</w:t>
            </w:r>
          </w:p>
          <w:p w14:paraId="5ECE7139">
            <w:pPr>
              <w:widowControl/>
              <w:adjustRightInd w:val="0"/>
              <w:snapToGrid w:val="0"/>
              <w:spacing w:line="276" w:lineRule="auto"/>
              <w:jc w:val="left"/>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en-US" w:eastAsia="zh-CN"/>
              </w:rPr>
              <w:t>服务方案</w:t>
            </w:r>
            <w:r>
              <w:rPr>
                <w:rFonts w:hint="default" w:ascii="Times New Roman" w:hAnsi="Times New Roman" w:eastAsia="仿宋_GB2312" w:cs="Times New Roman"/>
                <w:sz w:val="32"/>
                <w:szCs w:val="32"/>
                <w:lang w:val="zh-CN" w:eastAsia="zh-CN"/>
              </w:rPr>
              <w:t>：</w:t>
            </w:r>
            <w:r>
              <w:rPr>
                <w:rFonts w:hint="default" w:ascii="Times New Roman" w:hAnsi="Times New Roman" w:eastAsia="仿宋_GB2312" w:cs="Times New Roman"/>
                <w:sz w:val="32"/>
                <w:szCs w:val="32"/>
                <w:lang w:val="en-US" w:eastAsia="zh-CN"/>
              </w:rPr>
              <w:t xml:space="preserve"> 30</w:t>
            </w:r>
            <w:r>
              <w:rPr>
                <w:rFonts w:hint="default" w:ascii="Times New Roman" w:hAnsi="Times New Roman" w:eastAsia="仿宋_GB2312" w:cs="Times New Roman"/>
                <w:sz w:val="32"/>
                <w:szCs w:val="32"/>
                <w:lang w:val="zh-CN" w:eastAsia="zh-CN"/>
              </w:rPr>
              <w:t xml:space="preserve"> 分</w:t>
            </w:r>
          </w:p>
          <w:p w14:paraId="05F4ACE2">
            <w:pPr>
              <w:widowControl/>
              <w:adjustRightInd w:val="0"/>
              <w:snapToGrid w:val="0"/>
              <w:spacing w:line="276" w:lineRule="auto"/>
              <w:jc w:val="left"/>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en-US" w:eastAsia="zh-CN"/>
              </w:rPr>
              <w:t>企业业绩</w:t>
            </w:r>
            <w:r>
              <w:rPr>
                <w:rFonts w:hint="default" w:ascii="Times New Roman" w:hAnsi="Times New Roman" w:eastAsia="仿宋_GB2312" w:cs="Times New Roman"/>
                <w:sz w:val="32"/>
                <w:szCs w:val="32"/>
                <w:lang w:val="zh-CN" w:eastAsia="zh-CN"/>
              </w:rPr>
              <w:t>：</w:t>
            </w:r>
            <w:r>
              <w:rPr>
                <w:rFonts w:hint="default" w:ascii="Times New Roman" w:hAnsi="Times New Roman" w:eastAsia="仿宋_GB2312" w:cs="Times New Roman"/>
                <w:sz w:val="32"/>
                <w:szCs w:val="32"/>
                <w:lang w:val="en-US" w:eastAsia="zh-CN"/>
              </w:rPr>
              <w:t xml:space="preserve"> 30 </w:t>
            </w:r>
            <w:r>
              <w:rPr>
                <w:rFonts w:hint="default" w:ascii="Times New Roman" w:hAnsi="Times New Roman" w:eastAsia="仿宋_GB2312" w:cs="Times New Roman"/>
                <w:sz w:val="32"/>
                <w:szCs w:val="32"/>
                <w:lang w:val="zh-CN" w:eastAsia="zh-CN"/>
              </w:rPr>
              <w:t>分</w:t>
            </w:r>
          </w:p>
          <w:p w14:paraId="2852DF9E">
            <w:pPr>
              <w:widowControl/>
              <w:adjustRightInd w:val="0"/>
              <w:snapToGrid w:val="0"/>
              <w:spacing w:line="276" w:lineRule="auto"/>
              <w:jc w:val="left"/>
              <w:rPr>
                <w:rFonts w:hint="default" w:ascii="Times New Roman" w:hAnsi="Times New Roman" w:cs="Times New Roman"/>
                <w:lang w:val="en-US"/>
              </w:rPr>
            </w:pPr>
            <w:r>
              <w:rPr>
                <w:rFonts w:hint="default" w:ascii="Times New Roman" w:hAnsi="Times New Roman" w:eastAsia="仿宋_GB2312" w:cs="Times New Roman"/>
                <w:sz w:val="32"/>
                <w:szCs w:val="32"/>
                <w:lang w:val="en-US" w:eastAsia="zh-CN"/>
              </w:rPr>
              <w:t>管理机构： 20 分</w:t>
            </w:r>
          </w:p>
        </w:tc>
      </w:tr>
      <w:tr w14:paraId="28445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913" w:type="dxa"/>
            <w:tcMar>
              <w:top w:w="0" w:type="dxa"/>
              <w:left w:w="0" w:type="dxa"/>
              <w:bottom w:w="0" w:type="dxa"/>
              <w:right w:w="0" w:type="dxa"/>
            </w:tcMar>
            <w:vAlign w:val="center"/>
          </w:tcPr>
          <w:p w14:paraId="7BF29569">
            <w:pPr>
              <w:jc w:val="center"/>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评审项</w:t>
            </w:r>
          </w:p>
        </w:tc>
        <w:tc>
          <w:tcPr>
            <w:tcW w:w="6786" w:type="dxa"/>
            <w:tcMar>
              <w:top w:w="0" w:type="dxa"/>
              <w:left w:w="0" w:type="dxa"/>
              <w:bottom w:w="0" w:type="dxa"/>
              <w:right w:w="0" w:type="dxa"/>
            </w:tcMar>
            <w:vAlign w:val="center"/>
          </w:tcPr>
          <w:p w14:paraId="451D732D">
            <w:pPr>
              <w:jc w:val="center"/>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评标标准</w:t>
            </w:r>
          </w:p>
        </w:tc>
      </w:tr>
      <w:tr w14:paraId="00CF8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jc w:val="center"/>
        </w:trPr>
        <w:tc>
          <w:tcPr>
            <w:tcW w:w="2913" w:type="dxa"/>
            <w:tcMar>
              <w:top w:w="0" w:type="dxa"/>
              <w:left w:w="0" w:type="dxa"/>
              <w:bottom w:w="0" w:type="dxa"/>
              <w:right w:w="0" w:type="dxa"/>
            </w:tcMar>
            <w:vAlign w:val="center"/>
          </w:tcPr>
          <w:p w14:paraId="0F473F3E">
            <w:pPr>
              <w:adjustRightInd w:val="0"/>
              <w:snapToGrid w:val="0"/>
              <w:spacing w:line="276" w:lineRule="auto"/>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企业</w:t>
            </w:r>
            <w:r>
              <w:rPr>
                <w:rFonts w:hint="default" w:ascii="Times New Roman" w:hAnsi="Times New Roman" w:eastAsia="仿宋_GB2312" w:cs="Times New Roman"/>
                <w:sz w:val="32"/>
                <w:szCs w:val="32"/>
              </w:rPr>
              <w:t>报价</w:t>
            </w:r>
          </w:p>
          <w:p w14:paraId="5726BDF3">
            <w:pPr>
              <w:adjustRightInd w:val="0"/>
              <w:snapToGrid w:val="0"/>
              <w:spacing w:line="276" w:lineRule="auto"/>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20</w:t>
            </w:r>
            <w:r>
              <w:rPr>
                <w:rFonts w:hint="default" w:ascii="Times New Roman" w:hAnsi="Times New Roman" w:eastAsia="仿宋_GB2312" w:cs="Times New Roman"/>
                <w:sz w:val="32"/>
                <w:szCs w:val="32"/>
              </w:rPr>
              <w:t>分）</w:t>
            </w:r>
          </w:p>
        </w:tc>
        <w:tc>
          <w:tcPr>
            <w:tcW w:w="6786" w:type="dxa"/>
            <w:tcMar>
              <w:top w:w="0" w:type="dxa"/>
              <w:left w:w="0" w:type="dxa"/>
              <w:bottom w:w="0" w:type="dxa"/>
              <w:right w:w="0" w:type="dxa"/>
            </w:tcMar>
            <w:vAlign w:val="center"/>
          </w:tcPr>
          <w:p w14:paraId="6CE674CF">
            <w:pPr>
              <w:widowControl/>
              <w:adjustRightInd w:val="0"/>
              <w:snapToGrid w:val="0"/>
              <w:spacing w:line="276" w:lineRule="auto"/>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报价超过</w:t>
            </w:r>
            <w:r>
              <w:rPr>
                <w:rFonts w:hint="default" w:ascii="Times New Roman" w:hAnsi="Times New Roman" w:eastAsia="仿宋_GB2312" w:cs="Times New Roman"/>
                <w:sz w:val="32"/>
                <w:szCs w:val="32"/>
                <w:highlight w:val="none"/>
                <w:lang w:val="en-US" w:eastAsia="zh-CN"/>
              </w:rPr>
              <w:t>10.44万</w:t>
            </w:r>
            <w:r>
              <w:rPr>
                <w:rFonts w:hint="default" w:ascii="Times New Roman" w:hAnsi="Times New Roman" w:eastAsia="仿宋_GB2312" w:cs="Times New Roman"/>
                <w:sz w:val="32"/>
                <w:szCs w:val="32"/>
                <w:lang w:val="en-US" w:eastAsia="zh-CN"/>
              </w:rPr>
              <w:t>元</w:t>
            </w:r>
            <w:r>
              <w:rPr>
                <w:rFonts w:hint="default" w:ascii="Times New Roman" w:hAnsi="Times New Roman" w:eastAsia="仿宋_GB2312" w:cs="Times New Roman"/>
                <w:sz w:val="32"/>
                <w:szCs w:val="32"/>
              </w:rPr>
              <w:t>为无效报价；</w:t>
            </w:r>
          </w:p>
          <w:p w14:paraId="5F37A7A6">
            <w:pPr>
              <w:widowControl/>
              <w:adjustRightInd w:val="0"/>
              <w:snapToGrid w:val="0"/>
              <w:spacing w:line="276" w:lineRule="auto"/>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2.所有参与的</w:t>
            </w:r>
            <w:r>
              <w:rPr>
                <w:rFonts w:hint="default" w:ascii="Times New Roman" w:hAnsi="Times New Roman" w:eastAsia="仿宋_GB2312" w:cs="Times New Roman"/>
                <w:sz w:val="32"/>
                <w:szCs w:val="32"/>
                <w:lang w:eastAsia="zh-CN"/>
              </w:rPr>
              <w:t>比选</w:t>
            </w:r>
            <w:r>
              <w:rPr>
                <w:rFonts w:hint="default" w:ascii="Times New Roman" w:hAnsi="Times New Roman" w:eastAsia="仿宋_GB2312" w:cs="Times New Roman"/>
                <w:sz w:val="32"/>
                <w:szCs w:val="32"/>
              </w:rPr>
              <w:t>申请人最低的有效报价为基准报价；</w:t>
            </w:r>
          </w:p>
          <w:p w14:paraId="6045B741">
            <w:pPr>
              <w:widowControl/>
              <w:adjustRightInd w:val="0"/>
              <w:snapToGrid w:val="0"/>
              <w:spacing w:line="276" w:lineRule="auto"/>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3.报价得分=（基准报价/报价）×</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0分。</w:t>
            </w:r>
          </w:p>
        </w:tc>
      </w:tr>
      <w:tr w14:paraId="0F3E3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0" w:hRule="atLeast"/>
          <w:jc w:val="center"/>
        </w:trPr>
        <w:tc>
          <w:tcPr>
            <w:tcW w:w="2913" w:type="dxa"/>
            <w:tcMar>
              <w:top w:w="0" w:type="dxa"/>
              <w:left w:w="0" w:type="dxa"/>
              <w:bottom w:w="0" w:type="dxa"/>
              <w:right w:w="0" w:type="dxa"/>
            </w:tcMar>
            <w:vAlign w:val="center"/>
          </w:tcPr>
          <w:p w14:paraId="2E75BBB4">
            <w:pPr>
              <w:adjustRightInd w:val="0"/>
              <w:snapToGrid w:val="0"/>
              <w:spacing w:line="276" w:lineRule="auto"/>
              <w:jc w:val="cente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服务方案</w:t>
            </w:r>
          </w:p>
          <w:p w14:paraId="05870347">
            <w:pPr>
              <w:adjustRightInd w:val="0"/>
              <w:snapToGrid w:val="0"/>
              <w:spacing w:line="276" w:lineRule="auto"/>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（30分）</w:t>
            </w:r>
          </w:p>
        </w:tc>
        <w:tc>
          <w:tcPr>
            <w:tcW w:w="6786" w:type="dxa"/>
            <w:tcMar>
              <w:top w:w="0" w:type="dxa"/>
              <w:left w:w="0" w:type="dxa"/>
              <w:bottom w:w="0" w:type="dxa"/>
              <w:right w:w="0" w:type="dxa"/>
            </w:tcMar>
            <w:vAlign w:val="center"/>
          </w:tcPr>
          <w:p w14:paraId="2F79610F">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leftChars="0" w:firstLine="640" w:firstLineChars="200"/>
              <w:jc w:val="both"/>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1.阐述可研编制的工作内容、工作重点、工作方法和工作流程（0-10分）2.阐述可研编制过程中的风险防控及相应预案（0-10分）3.保密措施及档案管理制度（0-5分）4.服务承诺（0-5分）</w:t>
            </w:r>
          </w:p>
          <w:p w14:paraId="4B3C1D5A">
            <w:pPr>
              <w:widowControl/>
              <w:numPr>
                <w:ilvl w:val="0"/>
                <w:numId w:val="0"/>
              </w:numPr>
              <w:adjustRightInd w:val="0"/>
              <w:snapToGrid w:val="0"/>
              <w:spacing w:line="276" w:lineRule="auto"/>
              <w:ind w:leftChars="0"/>
              <w:jc w:val="both"/>
              <w:rPr>
                <w:rFonts w:hint="default" w:ascii="Times New Roman" w:hAnsi="Times New Roman" w:eastAsia="仿宋_GB2312" w:cs="Times New Roman"/>
                <w:sz w:val="32"/>
                <w:szCs w:val="32"/>
                <w:lang w:val="zh-CN"/>
              </w:rPr>
            </w:pPr>
          </w:p>
        </w:tc>
      </w:tr>
      <w:tr w14:paraId="74D0E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2913" w:type="dxa"/>
            <w:tcMar>
              <w:top w:w="0" w:type="dxa"/>
              <w:left w:w="0" w:type="dxa"/>
              <w:bottom w:w="0" w:type="dxa"/>
              <w:right w:w="0" w:type="dxa"/>
            </w:tcMar>
            <w:vAlign w:val="center"/>
          </w:tcPr>
          <w:p w14:paraId="5644BE41">
            <w:pPr>
              <w:adjustRightInd w:val="0"/>
              <w:snapToGrid w:val="0"/>
              <w:spacing w:line="276" w:lineRule="auto"/>
              <w:jc w:val="cente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企业业绩</w:t>
            </w:r>
          </w:p>
          <w:p w14:paraId="2FF270F3">
            <w:pPr>
              <w:adjustRightInd w:val="0"/>
              <w:snapToGrid w:val="0"/>
              <w:spacing w:line="276" w:lineRule="auto"/>
              <w:jc w:val="cente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（30分）</w:t>
            </w:r>
          </w:p>
        </w:tc>
        <w:tc>
          <w:tcPr>
            <w:tcW w:w="6786" w:type="dxa"/>
            <w:tcMar>
              <w:top w:w="0" w:type="dxa"/>
              <w:left w:w="0" w:type="dxa"/>
              <w:bottom w:w="0" w:type="dxa"/>
              <w:right w:w="0" w:type="dxa"/>
            </w:tcMar>
            <w:vAlign w:val="center"/>
          </w:tcPr>
          <w:p w14:paraId="378E5F0F">
            <w:pPr>
              <w:adjustRightInd w:val="0"/>
              <w:snapToGrid w:val="0"/>
              <w:spacing w:line="276" w:lineRule="auto"/>
              <w:ind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auto"/>
                <w:sz w:val="32"/>
                <w:szCs w:val="32"/>
                <w:highlight w:val="none"/>
                <w:lang w:val="en-US" w:eastAsia="zh-CN"/>
              </w:rPr>
              <w:t>近3年（2023年9月-2026年9月，以合同签订时间为准）承接过市政排水类可研报告编制工作并取得批复的，每项得3分，本项最高得30分。（需提供可研编制合同和批复，申请文件中附复印件并加盖公章）</w:t>
            </w:r>
          </w:p>
        </w:tc>
      </w:tr>
      <w:tr w14:paraId="4BF31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2913" w:type="dxa"/>
            <w:tcMar>
              <w:top w:w="0" w:type="dxa"/>
              <w:left w:w="0" w:type="dxa"/>
              <w:bottom w:w="0" w:type="dxa"/>
              <w:right w:w="0" w:type="dxa"/>
            </w:tcMar>
            <w:vAlign w:val="center"/>
          </w:tcPr>
          <w:p w14:paraId="2E49D541">
            <w:pPr>
              <w:adjustRightInd w:val="0"/>
              <w:snapToGrid w:val="0"/>
              <w:spacing w:line="276" w:lineRule="auto"/>
              <w:jc w:val="cente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管理机构</w:t>
            </w:r>
          </w:p>
          <w:p w14:paraId="6457D52C">
            <w:pPr>
              <w:adjustRightInd w:val="0"/>
              <w:snapToGrid w:val="0"/>
              <w:spacing w:line="276" w:lineRule="auto"/>
              <w:jc w:val="cente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（20分）</w:t>
            </w:r>
          </w:p>
        </w:tc>
        <w:tc>
          <w:tcPr>
            <w:tcW w:w="6786" w:type="dxa"/>
            <w:tcMar>
              <w:top w:w="0" w:type="dxa"/>
              <w:left w:w="0" w:type="dxa"/>
              <w:bottom w:w="0" w:type="dxa"/>
              <w:right w:w="0" w:type="dxa"/>
            </w:tcMar>
            <w:vAlign w:val="center"/>
          </w:tcPr>
          <w:p w14:paraId="7E0C651C">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right="0" w:rightChars="0" w:firstLine="640" w:firstLineChars="200"/>
              <w:jc w:val="both"/>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kern w:val="2"/>
                <w:sz w:val="32"/>
                <w:szCs w:val="32"/>
                <w:highlight w:val="none"/>
                <w:lang w:val="en-US" w:eastAsia="zh-CN" w:bidi="ar-SA"/>
              </w:rPr>
              <w:t>1.</w:t>
            </w:r>
            <w:r>
              <w:rPr>
                <w:rFonts w:hint="default" w:ascii="Times New Roman" w:hAnsi="Times New Roman" w:eastAsia="仿宋_GB2312" w:cs="Times New Roman"/>
                <w:color w:val="auto"/>
                <w:sz w:val="32"/>
                <w:szCs w:val="32"/>
                <w:highlight w:val="none"/>
                <w:lang w:val="en-US" w:eastAsia="zh-CN"/>
              </w:rPr>
              <w:t>项目组负责人具备工程相关高级</w:t>
            </w:r>
            <w:r>
              <w:rPr>
                <w:rFonts w:hint="default"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lang w:val="en-US" w:eastAsia="zh-CN"/>
              </w:rPr>
              <w:t>含</w:t>
            </w:r>
            <w:r>
              <w:rPr>
                <w:rFonts w:hint="default"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lang w:val="en-US" w:eastAsia="zh-CN"/>
              </w:rPr>
              <w:t>以上职称得4分；具备注册咨询工程师（投资）证书得3分；二者同时具备得7分，本项最高得7分；</w:t>
            </w:r>
          </w:p>
          <w:p w14:paraId="11D3BA6D">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right="0" w:rightChars="0" w:firstLine="640" w:firstLineChars="200"/>
              <w:jc w:val="both"/>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2.项目组成员</w:t>
            </w:r>
            <w:r>
              <w:rPr>
                <w:rFonts w:hint="default" w:ascii="Times New Roman" w:hAnsi="Times New Roman" w:eastAsia="仿宋_GB2312" w:cs="Times New Roman"/>
                <w:color w:val="auto"/>
                <w:sz w:val="32"/>
                <w:szCs w:val="32"/>
                <w:highlight w:val="none"/>
                <w:lang w:val="zh-CN"/>
              </w:rPr>
              <w:t>具备</w:t>
            </w:r>
            <w:r>
              <w:rPr>
                <w:rFonts w:hint="default" w:ascii="Times New Roman" w:hAnsi="Times New Roman" w:eastAsia="仿宋_GB2312" w:cs="Times New Roman"/>
                <w:color w:val="auto"/>
                <w:sz w:val="32"/>
                <w:szCs w:val="32"/>
                <w:highlight w:val="none"/>
                <w:lang w:val="en-US" w:eastAsia="zh-CN"/>
              </w:rPr>
              <w:t>注册公用设备工程师（给水排水）证书、一级注册造价工程师证书，且具备中</w:t>
            </w:r>
            <w:r>
              <w:rPr>
                <w:rFonts w:hint="default" w:ascii="Times New Roman" w:hAnsi="Times New Roman" w:eastAsia="仿宋_GB2312" w:cs="Times New Roman"/>
                <w:color w:val="auto"/>
                <w:sz w:val="32"/>
                <w:szCs w:val="32"/>
                <w:highlight w:val="none"/>
                <w:lang w:val="zh-CN"/>
              </w:rPr>
              <w:t>级（</w:t>
            </w:r>
            <w:r>
              <w:rPr>
                <w:rFonts w:hint="default" w:ascii="Times New Roman" w:hAnsi="Times New Roman" w:eastAsia="仿宋_GB2312" w:cs="Times New Roman"/>
                <w:color w:val="auto"/>
                <w:sz w:val="32"/>
                <w:szCs w:val="32"/>
                <w:highlight w:val="none"/>
                <w:lang w:val="en-US" w:eastAsia="zh-CN"/>
              </w:rPr>
              <w:t>含</w:t>
            </w:r>
            <w:r>
              <w:rPr>
                <w:rFonts w:hint="default"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lang w:val="en-US" w:eastAsia="zh-CN"/>
              </w:rPr>
              <w:t>以上</w:t>
            </w:r>
            <w:r>
              <w:rPr>
                <w:rFonts w:hint="default" w:ascii="Times New Roman" w:hAnsi="Times New Roman" w:eastAsia="仿宋_GB2312" w:cs="Times New Roman"/>
                <w:color w:val="auto"/>
                <w:sz w:val="32"/>
                <w:szCs w:val="32"/>
                <w:highlight w:val="none"/>
                <w:lang w:val="zh-CN"/>
              </w:rPr>
              <w:t>职称</w:t>
            </w:r>
            <w:r>
              <w:rPr>
                <w:rFonts w:hint="default" w:ascii="Times New Roman" w:hAnsi="Times New Roman" w:eastAsia="仿宋_GB2312" w:cs="Times New Roman"/>
                <w:color w:val="auto"/>
                <w:sz w:val="32"/>
                <w:szCs w:val="32"/>
                <w:highlight w:val="none"/>
                <w:lang w:val="en-US" w:eastAsia="zh-CN"/>
              </w:rPr>
              <w:t>的，每提供一项得5分，本项最高得10分。</w:t>
            </w:r>
          </w:p>
          <w:p w14:paraId="1B44789C">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right="0" w:rightChars="0" w:firstLine="640" w:firstLineChars="200"/>
              <w:jc w:val="both"/>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3.项目组人数为5人（含）以上的得3分，本项最高得3分</w:t>
            </w:r>
            <w:r>
              <w:rPr>
                <w:rFonts w:hint="default" w:ascii="Times New Roman" w:hAnsi="Times New Roman" w:eastAsia="仿宋_GB2312" w:cs="Times New Roman"/>
                <w:color w:val="auto"/>
                <w:sz w:val="32"/>
                <w:szCs w:val="32"/>
                <w:highlight w:val="none"/>
                <w:lang w:val="en-US" w:eastAsia="zh-CN"/>
              </w:rPr>
              <w:t>（需提供劳动合同等证明材料及证书复印件）</w:t>
            </w:r>
            <w:r>
              <w:rPr>
                <w:rFonts w:hint="default" w:ascii="Times New Roman" w:hAnsi="Times New Roman" w:eastAsia="仿宋_GB2312" w:cs="Times New Roman"/>
                <w:color w:val="auto"/>
                <w:kern w:val="2"/>
                <w:sz w:val="32"/>
                <w:szCs w:val="32"/>
                <w:highlight w:val="none"/>
                <w:lang w:val="en-US" w:eastAsia="zh-CN" w:bidi="ar-SA"/>
              </w:rPr>
              <w:t>。</w:t>
            </w:r>
          </w:p>
          <w:p w14:paraId="31EE841E">
            <w:pPr>
              <w:pStyle w:val="12"/>
              <w:ind w:left="0" w:leftChars="0" w:firstLine="0" w:firstLineChars="0"/>
              <w:jc w:val="left"/>
              <w:rPr>
                <w:rFonts w:hint="default" w:ascii="Times New Roman" w:hAnsi="Times New Roman" w:eastAsia="仿宋_GB2312" w:cs="Times New Roman"/>
                <w:sz w:val="32"/>
                <w:szCs w:val="32"/>
                <w:lang w:val="en-US" w:eastAsia="zh-CN"/>
              </w:rPr>
            </w:pPr>
          </w:p>
        </w:tc>
      </w:tr>
    </w:tbl>
    <w:p w14:paraId="62A56197">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zh-CN" w:eastAsia="zh-CN"/>
        </w:rPr>
      </w:pPr>
      <w:r>
        <w:rPr>
          <w:rFonts w:hint="default" w:ascii="Times New Roman" w:hAnsi="Times New Roman" w:eastAsia="仿宋_GB2312" w:cs="Times New Roman"/>
          <w:b/>
          <w:bCs/>
          <w:sz w:val="32"/>
          <w:szCs w:val="32"/>
          <w:lang w:val="zh-CN" w:eastAsia="zh-CN"/>
        </w:rPr>
        <w:t>（</w:t>
      </w:r>
      <w:r>
        <w:rPr>
          <w:rFonts w:hint="default" w:ascii="Times New Roman" w:hAnsi="Times New Roman" w:eastAsia="仿宋_GB2312" w:cs="Times New Roman"/>
          <w:b/>
          <w:bCs/>
          <w:sz w:val="32"/>
          <w:szCs w:val="32"/>
          <w:lang w:val="en-US" w:eastAsia="zh-CN"/>
        </w:rPr>
        <w:t>三</w:t>
      </w:r>
      <w:r>
        <w:rPr>
          <w:rFonts w:hint="default" w:ascii="Times New Roman" w:hAnsi="Times New Roman" w:eastAsia="仿宋_GB2312" w:cs="Times New Roman"/>
          <w:b/>
          <w:bCs/>
          <w:sz w:val="32"/>
          <w:szCs w:val="32"/>
          <w:lang w:val="zh-CN" w:eastAsia="zh-CN"/>
        </w:rPr>
        <w:t>）推荐</w:t>
      </w:r>
      <w:r>
        <w:rPr>
          <w:rFonts w:hint="default" w:ascii="Times New Roman" w:hAnsi="Times New Roman" w:eastAsia="仿宋_GB2312" w:cs="Times New Roman"/>
          <w:b/>
          <w:bCs/>
          <w:sz w:val="32"/>
          <w:szCs w:val="32"/>
          <w:lang w:val="en-US" w:eastAsia="zh-CN"/>
        </w:rPr>
        <w:t>中标</w:t>
      </w:r>
      <w:r>
        <w:rPr>
          <w:rFonts w:hint="default" w:ascii="Times New Roman" w:hAnsi="Times New Roman" w:eastAsia="仿宋_GB2312" w:cs="Times New Roman"/>
          <w:b/>
          <w:bCs/>
          <w:sz w:val="32"/>
          <w:szCs w:val="32"/>
          <w:lang w:val="zh-CN" w:eastAsia="zh-CN"/>
        </w:rPr>
        <w:t>候选人</w:t>
      </w:r>
    </w:p>
    <w:p w14:paraId="6584B04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_GB2312" w:cs="Times New Roman"/>
          <w:sz w:val="32"/>
          <w:szCs w:val="32"/>
          <w:lang w:eastAsia="zh-CN"/>
        </w:rPr>
        <w:t>比选</w:t>
      </w:r>
      <w:r>
        <w:rPr>
          <w:rFonts w:hint="default" w:ascii="Times New Roman" w:hAnsi="Times New Roman" w:eastAsia="仿宋_GB2312" w:cs="Times New Roman"/>
          <w:sz w:val="32"/>
          <w:szCs w:val="32"/>
        </w:rPr>
        <w:t>采用综合评分法，按照得分由高到低确定候选人</w:t>
      </w:r>
      <w:r>
        <w:rPr>
          <w:rFonts w:hint="default" w:ascii="Times New Roman" w:hAnsi="Times New Roman" w:eastAsia="仿宋" w:cs="Times New Roman"/>
          <w:sz w:val="32"/>
          <w:szCs w:val="32"/>
          <w:highlight w:val="none"/>
          <w:lang w:val="en-US" w:eastAsia="zh-CN"/>
        </w:rPr>
        <w:t>。</w:t>
      </w:r>
    </w:p>
    <w:p w14:paraId="360D7884">
      <w:pPr>
        <w:pStyle w:val="12"/>
        <w:rPr>
          <w:rFonts w:hint="default" w:ascii="Times New Roman" w:hAnsi="Times New Roman" w:eastAsia="仿宋" w:cs="Times New Roman"/>
          <w:sz w:val="32"/>
          <w:szCs w:val="32"/>
          <w:highlight w:val="none"/>
          <w:lang w:val="en-US" w:eastAsia="zh-CN"/>
        </w:rPr>
      </w:pPr>
    </w:p>
    <w:p w14:paraId="1F44D1F9">
      <w:pPr>
        <w:pStyle w:val="13"/>
        <w:ind w:left="0" w:leftChars="0" w:firstLine="0" w:firstLineChars="0"/>
        <w:rPr>
          <w:rFonts w:hint="default" w:ascii="Times New Roman" w:hAnsi="Times New Roman" w:eastAsia="仿宋" w:cs="Times New Roman"/>
          <w:sz w:val="32"/>
          <w:szCs w:val="32"/>
          <w:highlight w:val="none"/>
          <w:lang w:val="en-US" w:eastAsia="zh-CN"/>
        </w:rPr>
      </w:pPr>
    </w:p>
    <w:p w14:paraId="5C64BB92">
      <w:pPr>
        <w:pStyle w:val="13"/>
        <w:ind w:left="0" w:leftChars="0" w:firstLine="0" w:firstLineChars="0"/>
        <w:rPr>
          <w:rFonts w:hint="default" w:ascii="Times New Roman" w:hAnsi="Times New Roman" w:eastAsia="仿宋" w:cs="Times New Roman"/>
          <w:sz w:val="32"/>
          <w:szCs w:val="32"/>
          <w:highlight w:val="none"/>
          <w:lang w:val="en-US" w:eastAsia="zh-CN"/>
        </w:rPr>
      </w:pPr>
    </w:p>
    <w:p w14:paraId="481145E4">
      <w:pPr>
        <w:pStyle w:val="13"/>
        <w:ind w:left="0" w:leftChars="0" w:firstLine="0" w:firstLineChars="0"/>
        <w:rPr>
          <w:rFonts w:hint="default" w:ascii="Times New Roman" w:hAnsi="Times New Roman" w:eastAsia="仿宋" w:cs="Times New Roman"/>
          <w:sz w:val="32"/>
          <w:szCs w:val="32"/>
          <w:highlight w:val="none"/>
          <w:lang w:val="en-US" w:eastAsia="zh-CN"/>
        </w:rPr>
      </w:pPr>
    </w:p>
    <w:p w14:paraId="0F1574E6">
      <w:pPr>
        <w:pStyle w:val="13"/>
        <w:ind w:left="0" w:leftChars="0" w:firstLine="0" w:firstLineChars="0"/>
        <w:rPr>
          <w:rFonts w:hint="default" w:ascii="Times New Roman" w:hAnsi="Times New Roman" w:eastAsia="仿宋" w:cs="Times New Roman"/>
          <w:sz w:val="32"/>
          <w:szCs w:val="32"/>
          <w:highlight w:val="none"/>
          <w:lang w:val="en-US" w:eastAsia="zh-CN"/>
        </w:rPr>
      </w:pPr>
    </w:p>
    <w:p w14:paraId="7034331E">
      <w:pPr>
        <w:pStyle w:val="13"/>
        <w:spacing w:before="100" w:after="100"/>
        <w:ind w:left="0" w:leftChars="0" w:firstLine="0" w:firstLineChars="0"/>
        <w:rPr>
          <w:rFonts w:hint="default" w:ascii="Times New Roman" w:hAnsi="Times New Roman" w:eastAsia="仿宋_GB2312" w:cs="Times New Roman"/>
          <w:sz w:val="32"/>
          <w:szCs w:val="32"/>
          <w:lang w:eastAsia="zh-CN"/>
        </w:rPr>
      </w:pPr>
      <w:r>
        <w:rPr>
          <w:rFonts w:hint="default" w:ascii="Times New Roman" w:hAnsi="Times New Roman" w:eastAsia="仿宋" w:cs="Times New Roman"/>
          <w:sz w:val="32"/>
          <w:szCs w:val="32"/>
          <w:highlight w:val="none"/>
          <w:lang w:val="en-US" w:eastAsia="zh-CN"/>
        </w:rPr>
        <w:t>附件3：</w:t>
      </w:r>
    </w:p>
    <w:p w14:paraId="16367063">
      <w:pPr>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廉洁</w:t>
      </w:r>
      <w:r>
        <w:rPr>
          <w:rFonts w:hint="default" w:ascii="Times New Roman" w:hAnsi="Times New Roman" w:eastAsia="方正小标宋简体" w:cs="Times New Roman"/>
          <w:sz w:val="44"/>
          <w:szCs w:val="44"/>
          <w:lang w:val="en-US" w:eastAsia="zh-CN"/>
        </w:rPr>
        <w:t>自</w:t>
      </w:r>
      <w:r>
        <w:rPr>
          <w:rFonts w:hint="default" w:ascii="Times New Roman" w:hAnsi="Times New Roman" w:eastAsia="方正小标宋简体" w:cs="Times New Roman"/>
          <w:sz w:val="44"/>
          <w:szCs w:val="44"/>
        </w:rPr>
        <w:t>律承诺书</w:t>
      </w:r>
    </w:p>
    <w:p w14:paraId="7B62322D">
      <w:pPr>
        <w:keepNext w:val="0"/>
        <w:keepLines w:val="0"/>
        <w:pageBreakBefore w:val="0"/>
        <w:kinsoku/>
        <w:wordWrap/>
        <w:overflowPunct/>
        <w:topLinePunct w:val="0"/>
        <w:autoSpaceDE/>
        <w:autoSpaceDN/>
        <w:bidi w:val="0"/>
        <w:spacing w:line="560" w:lineRule="exact"/>
        <w:rPr>
          <w:rFonts w:hint="default" w:ascii="Times New Roman" w:hAnsi="Times New Roman" w:eastAsia="仿宋_GB2312" w:cs="Times New Roman"/>
          <w:color w:val="auto"/>
          <w:sz w:val="32"/>
          <w:szCs w:val="32"/>
        </w:rPr>
      </w:pPr>
    </w:p>
    <w:p w14:paraId="7C93B7C7">
      <w:pPr>
        <w:keepNext w:val="0"/>
        <w:keepLines w:val="0"/>
        <w:pageBreakBefore w:val="0"/>
        <w:kinsoku/>
        <w:wordWrap/>
        <w:overflowPunct/>
        <w:topLinePunct w:val="0"/>
        <w:autoSpaceDE/>
        <w:autoSpaceDN/>
        <w:bidi w:val="0"/>
        <w:spacing w:line="560" w:lineRule="exac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致:</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公司</w:t>
      </w:r>
    </w:p>
    <w:p w14:paraId="39260D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为维护公平竞争的市场环境，确保经济活动的廉洁性</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合法性和透明度，防止任何形式的不正当交易及腐败行为，</w:t>
      </w:r>
      <w:r>
        <w:rPr>
          <w:rFonts w:hint="default" w:ascii="Times New Roman" w:hAnsi="Times New Roman" w:eastAsia="仿宋_GB2312" w:cs="Times New Roman"/>
          <w:color w:val="auto"/>
          <w:sz w:val="32"/>
          <w:szCs w:val="32"/>
          <w:lang w:val="en-US" w:eastAsia="zh-CN"/>
        </w:rPr>
        <w:t>我单位作为投标人，郑重</w:t>
      </w:r>
      <w:r>
        <w:rPr>
          <w:rFonts w:hint="default" w:ascii="Times New Roman" w:hAnsi="Times New Roman" w:eastAsia="仿宋_GB2312" w:cs="Times New Roman"/>
          <w:color w:val="auto"/>
          <w:sz w:val="32"/>
          <w:szCs w:val="32"/>
        </w:rPr>
        <w:t>承诺</w:t>
      </w:r>
      <w:r>
        <w:rPr>
          <w:rFonts w:hint="default" w:ascii="Times New Roman" w:hAnsi="Times New Roman" w:eastAsia="仿宋_GB2312" w:cs="Times New Roman"/>
          <w:color w:val="auto"/>
          <w:sz w:val="32"/>
          <w:szCs w:val="32"/>
          <w:lang w:val="en-US" w:eastAsia="zh-CN"/>
        </w:rPr>
        <w:t>如下</w:t>
      </w:r>
      <w:r>
        <w:rPr>
          <w:rFonts w:hint="default" w:ascii="Times New Roman" w:hAnsi="Times New Roman" w:eastAsia="仿宋_GB2312" w:cs="Times New Roman"/>
          <w:color w:val="auto"/>
          <w:sz w:val="32"/>
          <w:szCs w:val="32"/>
        </w:rPr>
        <w:t>:</w:t>
      </w:r>
    </w:p>
    <w:p w14:paraId="6F8814F3">
      <w:pPr>
        <w:pStyle w:val="18"/>
        <w:keepNext w:val="0"/>
        <w:keepLines w:val="0"/>
        <w:pageBreakBefore w:val="0"/>
        <w:widowControl/>
        <w:numPr>
          <w:ilvl w:val="0"/>
          <w:numId w:val="0"/>
        </w:numPr>
        <w:kinsoku/>
        <w:wordWrap/>
        <w:overflowPunct/>
        <w:topLinePunct w:val="0"/>
        <w:autoSpaceDE/>
        <w:autoSpaceDN/>
        <w:bidi w:val="0"/>
        <w:adjustRightInd w:val="0"/>
        <w:snapToGrid w:val="0"/>
        <w:spacing w:after="0" w:afterLines="0" w:line="560" w:lineRule="exact"/>
        <w:ind w:firstLine="640" w:firstLineChars="200"/>
        <w:jc w:val="both"/>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严格遵守国家及地方关于招投标、市场竞争的相关法律法规，不使用不正当手段妨碍、排挤相关投标单位或串通投标</w:t>
      </w:r>
      <w:r>
        <w:rPr>
          <w:rFonts w:hint="default" w:ascii="Times New Roman" w:hAnsi="Times New Roman" w:eastAsia="仿宋_GB2312" w:cs="Times New Roman"/>
          <w:color w:val="auto"/>
          <w:sz w:val="32"/>
          <w:szCs w:val="32"/>
          <w:lang w:eastAsia="zh-CN"/>
        </w:rPr>
        <w:t>。</w:t>
      </w:r>
    </w:p>
    <w:p w14:paraId="37CF395B">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2.不以任何形式(包括但不限于现金、礼品、有价证券回扣、佣金、提供旅游、娱乐活动等)向招标人员、评标专家或其他</w:t>
      </w:r>
      <w:r>
        <w:rPr>
          <w:rFonts w:hint="default" w:ascii="Times New Roman" w:hAnsi="Times New Roman" w:eastAsia="仿宋_GB2312" w:cs="Times New Roman"/>
          <w:color w:val="auto"/>
          <w:sz w:val="32"/>
          <w:szCs w:val="32"/>
          <w:lang w:val="en-US" w:eastAsia="zh-CN"/>
        </w:rPr>
        <w:t>利害关系方</w:t>
      </w:r>
      <w:r>
        <w:rPr>
          <w:rFonts w:hint="default" w:ascii="Times New Roman" w:hAnsi="Times New Roman" w:eastAsia="仿宋_GB2312" w:cs="Times New Roman"/>
          <w:color w:val="auto"/>
          <w:sz w:val="32"/>
          <w:szCs w:val="32"/>
        </w:rPr>
        <w:t>进行贿赂或给予不正当利益。</w:t>
      </w:r>
    </w:p>
    <w:p w14:paraId="27DA7293">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3.不进行任何可能影响招标公平、公正的活动或尝试干预评标过程。</w:t>
      </w:r>
    </w:p>
    <w:p w14:paraId="614B08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如违反上述承诺，我单位愿意接受包括但不限于取消投标资格、中标无效、列入不良行为记录名单等，给招标单位造成损失的，依法承担赔偿责任。</w:t>
      </w:r>
    </w:p>
    <w:p w14:paraId="4258579C">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特此承诺。</w:t>
      </w:r>
    </w:p>
    <w:p w14:paraId="1EDAB4A9">
      <w:pPr>
        <w:ind w:firstLine="6400" w:firstLineChars="2000"/>
        <w:rPr>
          <w:rFonts w:hint="default" w:ascii="Times New Roman" w:hAnsi="Times New Roman" w:eastAsia="仿宋_GB2312" w:cs="Times New Roman"/>
          <w:sz w:val="32"/>
          <w:szCs w:val="32"/>
        </w:rPr>
      </w:pPr>
    </w:p>
    <w:p w14:paraId="31D60EB1">
      <w:pPr>
        <w:ind w:firstLine="4160" w:firstLineChars="13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单位名称(盖章)</w:t>
      </w:r>
    </w:p>
    <w:p w14:paraId="285188A2">
      <w:pPr>
        <w:ind w:firstLine="4160" w:firstLineChars="13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日期:</w:t>
      </w:r>
    </w:p>
    <w:p w14:paraId="5F937BAE">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仿宋_GB2312" w:cs="Times New Roman"/>
          <w:sz w:val="32"/>
          <w:szCs w:val="32"/>
          <w:highlight w:val="yellow"/>
          <w:lang w:val="en-US" w:eastAsia="zh-CN"/>
        </w:rPr>
      </w:pPr>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23FA4">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986AC7">
                          <w:pPr>
                            <w:pStyle w:val="8"/>
                            <w:rPr>
                              <w:rFonts w:hint="eastAsia" w:eastAsia="宋体"/>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75986AC7">
                    <w:pPr>
                      <w:pStyle w:val="8"/>
                      <w:rPr>
                        <w:rFonts w:hint="eastAsia" w:eastAsia="宋体"/>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chineseCounting"/>
      <w:pStyle w:val="2"/>
      <w:suff w:val="nothing"/>
      <w:lvlText w:val="第%1章 "/>
      <w:lvlJc w:val="left"/>
      <w:pPr>
        <w:ind w:left="432" w:hanging="432"/>
      </w:pPr>
      <w:rPr>
        <w:rFonts w:hint="eastAsia"/>
      </w:rPr>
    </w:lvl>
    <w:lvl w:ilvl="1" w:tentative="0">
      <w:start w:val="1"/>
      <w:numFmt w:val="decimal"/>
      <w:isLgl/>
      <w:lvlText w:val="%1.%2."/>
      <w:lvlJc w:val="left"/>
      <w:pPr>
        <w:ind w:left="575" w:hanging="575"/>
      </w:pPr>
      <w:rPr>
        <w:rFonts w:hint="eastAsia"/>
      </w:rPr>
    </w:lvl>
    <w:lvl w:ilvl="2" w:tentative="0">
      <w:start w:val="1"/>
      <w:numFmt w:val="decimal"/>
      <w:isLgl/>
      <w:lvlText w:val="%1.%2.%3."/>
      <w:lvlJc w:val="left"/>
      <w:pPr>
        <w:ind w:left="720" w:hanging="720"/>
      </w:pPr>
      <w:rPr>
        <w:rFonts w:hint="eastAsia"/>
      </w:rPr>
    </w:lvl>
    <w:lvl w:ilvl="3" w:tentative="0">
      <w:start w:val="1"/>
      <w:numFmt w:val="decimal"/>
      <w:isLgl/>
      <w:lvlText w:val="%1.%2.%3.%4."/>
      <w:lvlJc w:val="left"/>
      <w:pPr>
        <w:ind w:left="864" w:hanging="864"/>
      </w:pPr>
      <w:rPr>
        <w:rFonts w:hint="eastAsia"/>
      </w:rPr>
    </w:lvl>
    <w:lvl w:ilvl="4" w:tentative="0">
      <w:start w:val="1"/>
      <w:numFmt w:val="decimal"/>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I4NWI0OGVmZWU4ZDY0N2NiNDcwNmU3N2UxMzlkMWIifQ=="/>
    <w:docVar w:name="KSO_WPS_MARK_KEY" w:val="e10be619-05dc-41cf-93cb-fd70e9d7f3f3"/>
  </w:docVars>
  <w:rsids>
    <w:rsidRoot w:val="00172A27"/>
    <w:rsid w:val="033A76CC"/>
    <w:rsid w:val="04760788"/>
    <w:rsid w:val="0477594A"/>
    <w:rsid w:val="065A0AB0"/>
    <w:rsid w:val="07FF36BC"/>
    <w:rsid w:val="0A2C0437"/>
    <w:rsid w:val="0BFD4952"/>
    <w:rsid w:val="0DCD1AE2"/>
    <w:rsid w:val="0F1958F7"/>
    <w:rsid w:val="100B7DD6"/>
    <w:rsid w:val="117E16C8"/>
    <w:rsid w:val="12277102"/>
    <w:rsid w:val="161A5D34"/>
    <w:rsid w:val="17A51BCE"/>
    <w:rsid w:val="1AB00E85"/>
    <w:rsid w:val="1CEB654E"/>
    <w:rsid w:val="1DC22489"/>
    <w:rsid w:val="1E420BEB"/>
    <w:rsid w:val="1E6710C6"/>
    <w:rsid w:val="22B94ED1"/>
    <w:rsid w:val="234B5C3C"/>
    <w:rsid w:val="250B339C"/>
    <w:rsid w:val="25ED37E2"/>
    <w:rsid w:val="27BF38CF"/>
    <w:rsid w:val="283F1AED"/>
    <w:rsid w:val="28B62672"/>
    <w:rsid w:val="29E1276B"/>
    <w:rsid w:val="2BC62952"/>
    <w:rsid w:val="2EC3522E"/>
    <w:rsid w:val="309143F1"/>
    <w:rsid w:val="331104CE"/>
    <w:rsid w:val="353A66E5"/>
    <w:rsid w:val="36EC5FD8"/>
    <w:rsid w:val="38CE6A25"/>
    <w:rsid w:val="396F1F22"/>
    <w:rsid w:val="39B06AF4"/>
    <w:rsid w:val="3B930354"/>
    <w:rsid w:val="3BFE6232"/>
    <w:rsid w:val="3D1D6AF8"/>
    <w:rsid w:val="3E5548D7"/>
    <w:rsid w:val="438D7307"/>
    <w:rsid w:val="43B1490D"/>
    <w:rsid w:val="447C4770"/>
    <w:rsid w:val="454A3AE3"/>
    <w:rsid w:val="461026EE"/>
    <w:rsid w:val="464042EF"/>
    <w:rsid w:val="47B42BE7"/>
    <w:rsid w:val="47FB2A68"/>
    <w:rsid w:val="4A3D2009"/>
    <w:rsid w:val="4B2116C3"/>
    <w:rsid w:val="4B604305"/>
    <w:rsid w:val="4FDC1809"/>
    <w:rsid w:val="4FF9017F"/>
    <w:rsid w:val="52B50B50"/>
    <w:rsid w:val="58316D81"/>
    <w:rsid w:val="589C7FC2"/>
    <w:rsid w:val="596040BD"/>
    <w:rsid w:val="598851F2"/>
    <w:rsid w:val="5CF873CF"/>
    <w:rsid w:val="61215F42"/>
    <w:rsid w:val="629E645C"/>
    <w:rsid w:val="62F72DBF"/>
    <w:rsid w:val="63316C99"/>
    <w:rsid w:val="63B41DA5"/>
    <w:rsid w:val="642F1472"/>
    <w:rsid w:val="64555C7B"/>
    <w:rsid w:val="655F1E1A"/>
    <w:rsid w:val="678260C8"/>
    <w:rsid w:val="68F608D3"/>
    <w:rsid w:val="6BA97B57"/>
    <w:rsid w:val="6CAC04F4"/>
    <w:rsid w:val="6CB07E76"/>
    <w:rsid w:val="6F811B7C"/>
    <w:rsid w:val="70722F5B"/>
    <w:rsid w:val="70D44079"/>
    <w:rsid w:val="768D3F82"/>
    <w:rsid w:val="77E57406"/>
    <w:rsid w:val="79E97840"/>
    <w:rsid w:val="7B3219DB"/>
    <w:rsid w:val="7FD7189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numPr>
        <w:ilvl w:val="0"/>
        <w:numId w:val="1"/>
      </w:numPr>
      <w:spacing w:before="100" w:beforeLines="0" w:after="100" w:afterLines="0" w:line="240" w:lineRule="atLeast"/>
      <w:jc w:val="center"/>
      <w:outlineLvl w:val="0"/>
    </w:pPr>
    <w:rPr>
      <w:rFonts w:ascii="Times New Roman" w:hAnsi="Times New Roman"/>
      <w:b/>
      <w:bCs/>
      <w:kern w:val="44"/>
      <w:sz w:val="36"/>
      <w:szCs w:val="44"/>
    </w:rPr>
  </w:style>
  <w:style w:type="paragraph" w:styleId="3">
    <w:name w:val="heading 2"/>
    <w:basedOn w:val="1"/>
    <w:next w:val="1"/>
    <w:qFormat/>
    <w:uiPriority w:val="0"/>
    <w:pPr>
      <w:keepNext/>
      <w:keepLines/>
      <w:spacing w:before="100" w:beforeLines="0" w:beforeAutospacing="0" w:after="100" w:afterLines="0" w:afterAutospacing="0" w:line="240" w:lineRule="auto"/>
      <w:ind w:firstLine="0" w:firstLineChars="0"/>
      <w:outlineLvl w:val="1"/>
    </w:pPr>
    <w:rPr>
      <w:b/>
      <w:sz w:val="32"/>
    </w:rPr>
  </w:style>
  <w:style w:type="character" w:default="1" w:styleId="15">
    <w:name w:val="Default Paragraph Font"/>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pPr>
      <w:jc w:val="center"/>
    </w:pPr>
    <w:rPr>
      <w:rFonts w:ascii="Times New Roman" w:hAnsi="Times New Roman" w:eastAsia="黑体" w:cs="Times New Roman"/>
      <w:sz w:val="36"/>
      <w:szCs w:val="20"/>
    </w:rPr>
  </w:style>
  <w:style w:type="paragraph" w:styleId="5">
    <w:name w:val="Body Text Indent"/>
    <w:basedOn w:val="1"/>
    <w:next w:val="6"/>
    <w:qFormat/>
    <w:uiPriority w:val="99"/>
    <w:pPr>
      <w:spacing w:after="120"/>
      <w:ind w:left="420" w:leftChars="200"/>
    </w:pPr>
  </w:style>
  <w:style w:type="paragraph" w:styleId="6">
    <w:name w:val="envelope return"/>
    <w:unhideWhenUsed/>
    <w:qFormat/>
    <w:uiPriority w:val="99"/>
    <w:pPr>
      <w:widowControl w:val="0"/>
      <w:snapToGrid w:val="0"/>
      <w:jc w:val="both"/>
    </w:pPr>
    <w:rPr>
      <w:rFonts w:ascii="Arial" w:hAnsi="Arial" w:eastAsia="宋体" w:cs="Times New Roman"/>
      <w:kern w:val="2"/>
      <w:sz w:val="21"/>
      <w:szCs w:val="22"/>
      <w:lang w:val="en-US" w:eastAsia="zh-CN" w:bidi="ar-SA"/>
    </w:rPr>
  </w:style>
  <w:style w:type="paragraph" w:styleId="7">
    <w:name w:val="Plain Text"/>
    <w:basedOn w:val="1"/>
    <w:qFormat/>
    <w:uiPriority w:val="0"/>
    <w:rPr>
      <w:sz w:val="24"/>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Body Text 2"/>
    <w:basedOn w:val="1"/>
    <w:qFormat/>
    <w:uiPriority w:val="0"/>
    <w:pPr>
      <w:spacing w:line="480" w:lineRule="auto"/>
    </w:pPr>
    <w:rPr>
      <w:rFonts w:ascii="Times New Roman" w:hAnsi="Times New Roman" w:eastAsia="宋体" w:cs="Times New Roman"/>
    </w:rPr>
  </w:style>
  <w:style w:type="paragraph" w:styleId="11">
    <w:name w:val="Normal (Web)"/>
    <w:basedOn w:val="1"/>
    <w:qFormat/>
    <w:uiPriority w:val="0"/>
    <w:pPr>
      <w:spacing w:before="100" w:beforeLines="0" w:beforeAutospacing="1" w:after="100" w:afterLines="0" w:afterAutospacing="1"/>
      <w:ind w:left="0" w:right="0"/>
      <w:jc w:val="left"/>
    </w:pPr>
    <w:rPr>
      <w:kern w:val="0"/>
      <w:sz w:val="24"/>
      <w:lang w:val="en-US" w:eastAsia="zh-CN" w:bidi="ar"/>
    </w:rPr>
  </w:style>
  <w:style w:type="paragraph" w:styleId="12">
    <w:name w:val="Body Text First Indent"/>
    <w:basedOn w:val="4"/>
    <w:next w:val="13"/>
    <w:qFormat/>
    <w:uiPriority w:val="0"/>
    <w:pPr>
      <w:ind w:firstLine="420" w:firstLineChars="100"/>
    </w:pPr>
    <w:rPr>
      <w:rFonts w:ascii="宋体" w:hAnsi="Times New Roman" w:eastAsia="宋体" w:cs="Times New Roman"/>
      <w:kern w:val="0"/>
      <w:sz w:val="34"/>
      <w:szCs w:val="20"/>
    </w:rPr>
  </w:style>
  <w:style w:type="paragraph" w:styleId="13">
    <w:name w:val="Body Text First Indent 2"/>
    <w:basedOn w:val="5"/>
    <w:qFormat/>
    <w:uiPriority w:val="0"/>
    <w:pPr>
      <w:adjustRightInd w:val="0"/>
      <w:snapToGrid w:val="0"/>
      <w:spacing w:beforeAutospacing="1" w:afterAutospacing="1" w:line="360" w:lineRule="auto"/>
      <w:ind w:left="480" w:firstLine="562" w:firstLineChars="200"/>
      <w:jc w:val="left"/>
    </w:pPr>
    <w:rPr>
      <w:rFonts w:hint="eastAsia" w:ascii="仿宋_GB2312" w:hAnsi="仿宋_GB2312" w:cs="Times New Roman"/>
      <w:szCs w:val="30"/>
      <w:lang w:eastAsia="en-US"/>
    </w:rPr>
  </w:style>
  <w:style w:type="character" w:styleId="16">
    <w:name w:val="Hyperlink"/>
    <w:basedOn w:val="15"/>
    <w:qFormat/>
    <w:uiPriority w:val="0"/>
    <w:rPr>
      <w:color w:val="0000FF"/>
      <w:u w:val="single"/>
    </w:rPr>
  </w:style>
  <w:style w:type="paragraph" w:customStyle="1" w:styleId="17">
    <w:name w:val="List Paragraph1"/>
    <w:basedOn w:val="1"/>
    <w:next w:val="1"/>
    <w:qFormat/>
    <w:uiPriority w:val="0"/>
    <w:pPr>
      <w:widowControl w:val="0"/>
      <w:autoSpaceDE/>
      <w:autoSpaceDN/>
      <w:spacing w:before="0" w:beforeLines="0" w:after="0" w:afterLines="0" w:line="240" w:lineRule="auto"/>
      <w:ind w:left="420" w:firstLine="3748"/>
      <w:jc w:val="both"/>
    </w:pPr>
  </w:style>
  <w:style w:type="paragraph" w:customStyle="1" w:styleId="18">
    <w:name w:val="Body Text First Indent"/>
    <w:basedOn w:val="4"/>
    <w:qFormat/>
    <w:uiPriority w:val="0"/>
    <w:pPr>
      <w:adjustRightInd w:val="0"/>
      <w:spacing w:line="312" w:lineRule="atLeast"/>
      <w:ind w:firstLine="420"/>
      <w:textAlignment w:val="baseline"/>
    </w:pPr>
    <w:rPr>
      <w:kern w:val="0"/>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2469</Words>
  <Characters>2595</Characters>
  <Lines>0</Lines>
  <Paragraphs>0</Paragraphs>
  <TotalTime>5</TotalTime>
  <ScaleCrop>false</ScaleCrop>
  <LinksUpToDate>false</LinksUpToDate>
  <CharactersWithSpaces>2629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萌萌噠</cp:lastModifiedBy>
  <cp:lastPrinted>2024-05-20T08:53:00Z</cp:lastPrinted>
  <dcterms:modified xsi:type="dcterms:W3CDTF">2026-09-21T07:38:15Z</dcterms:modified>
  <dc:title>关于许禹供热长输管线项目勘察设计招标代理机构询比采购的邀请函</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D8AF854630B14A7591FA0393FE855C84_13</vt:lpwstr>
  </property>
  <property fmtid="{D5CDD505-2E9C-101B-9397-08002B2CF9AE}" pid="4" name="commondata">
    <vt:lpwstr>eyJoZGlkIjoiN2I0NDMxMDhhNzIxZjIxM2FiMjFkZWExNzY4MTY3OTUifQ==</vt:lpwstr>
  </property>
  <property fmtid="{D5CDD505-2E9C-101B-9397-08002B2CF9AE}" pid="5" name="KSOTemplateDocerSaveRecord">
    <vt:lpwstr>eyJoZGlkIjoiYzgzZTc0ZGM5ODYzYTA0Zjk2MDQ0M2JlNWFiODg0NDciLCJ1c2VySWQiOiI4NDIwNTI3OTIifQ==</vt:lpwstr>
  </property>
</Properties>
</file>